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Override2.xml" ContentType="application/vnd.openxmlformats-officedocument.themeOverride+xml"/>
  <Override PartName="/word/charts/chart2.xml" ContentType="application/vnd.openxmlformats-officedocument.drawingml.chart+xml"/>
  <Override PartName="/word/charts/chart1.xml" ContentType="application/vnd.openxmlformats-officedocument.drawingml.chart+xml"/>
  <Override PartName="/word/theme/theme1.xml" ContentType="application/vnd.openxmlformats-officedocument.theme+xml"/>
  <Override PartName="/word/theme/themeOverride1.xml" ContentType="application/vnd.openxmlformats-officedocument.themeOverrid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C88" w:rsidRDefault="005E5C88" w:rsidP="005E5C88">
      <w:pPr>
        <w:spacing w:line="360" w:lineRule="auto"/>
      </w:pPr>
      <w:bookmarkStart w:id="0" w:name="_Toc511211853"/>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Default="005E5C88" w:rsidP="005E5C88">
      <w:pPr>
        <w:spacing w:line="360" w:lineRule="auto"/>
      </w:pPr>
    </w:p>
    <w:p w:rsidR="005E5C88" w:rsidRPr="00A150AB" w:rsidRDefault="005E5C88" w:rsidP="005E5C88">
      <w:pPr>
        <w:spacing w:line="360" w:lineRule="auto"/>
        <w:jc w:val="center"/>
        <w:rPr>
          <w:rFonts w:eastAsia="Times New Roman" w:cs="Times New Roman"/>
          <w:b/>
          <w:bCs/>
          <w:sz w:val="32"/>
          <w:szCs w:val="32"/>
        </w:rPr>
      </w:pPr>
      <w:r w:rsidRPr="00A150AB">
        <w:rPr>
          <w:rFonts w:cs="Times New Roman"/>
          <w:b/>
          <w:bCs/>
          <w:sz w:val="32"/>
          <w:szCs w:val="32"/>
        </w:rPr>
        <w:t xml:space="preserve">Akčný plán rozvoja okresu </w:t>
      </w:r>
      <w:r>
        <w:rPr>
          <w:rFonts w:cs="Times New Roman"/>
          <w:b/>
          <w:bCs/>
          <w:sz w:val="32"/>
          <w:szCs w:val="32"/>
        </w:rPr>
        <w:t>Bardejov</w:t>
      </w: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p w:rsidR="005E5C88" w:rsidRDefault="005E5C88">
      <w:pPr>
        <w:spacing w:after="200"/>
        <w:jc w:val="left"/>
      </w:pPr>
    </w:p>
    <w:sdt>
      <w:sdtPr>
        <w:rPr>
          <w:rFonts w:ascii="Times New Roman" w:eastAsiaTheme="minorHAnsi" w:hAnsi="Times New Roman" w:cstheme="minorBidi"/>
          <w:b w:val="0"/>
          <w:bCs w:val="0"/>
          <w:color w:val="000000" w:themeColor="text1"/>
          <w:sz w:val="22"/>
          <w:szCs w:val="22"/>
          <w:lang w:eastAsia="en-US"/>
        </w:rPr>
        <w:id w:val="300655499"/>
        <w:docPartObj>
          <w:docPartGallery w:val="Table of Contents"/>
          <w:docPartUnique/>
        </w:docPartObj>
      </w:sdtPr>
      <w:sdtEndPr>
        <w:rPr>
          <w:color w:val="auto"/>
        </w:rPr>
      </w:sdtEndPr>
      <w:sdtContent>
        <w:p w:rsidR="006D2E6D" w:rsidRDefault="006D2E6D">
          <w:pPr>
            <w:pStyle w:val="Hlavikaobsahu"/>
            <w:rPr>
              <w:color w:val="000000" w:themeColor="text1"/>
            </w:rPr>
          </w:pPr>
          <w:r w:rsidRPr="006D2E6D">
            <w:rPr>
              <w:color w:val="000000" w:themeColor="text1"/>
            </w:rPr>
            <w:t>Obsah</w:t>
          </w:r>
        </w:p>
        <w:p w:rsidR="006D2E6D" w:rsidRPr="006D2E6D" w:rsidRDefault="006D2E6D" w:rsidP="006D2E6D">
          <w:pPr>
            <w:rPr>
              <w:lang w:eastAsia="sk-SK"/>
            </w:rPr>
          </w:pPr>
        </w:p>
        <w:p w:rsidR="006D2E6D" w:rsidRPr="006D2E6D" w:rsidRDefault="0032346A">
          <w:pPr>
            <w:pStyle w:val="Obsah1"/>
            <w:tabs>
              <w:tab w:val="left" w:pos="440"/>
            </w:tabs>
            <w:rPr>
              <w:rFonts w:ascii="Times New Roman" w:eastAsiaTheme="minorEastAsia" w:hAnsi="Times New Roman" w:cs="Times New Roman"/>
              <w:noProof/>
              <w:color w:val="auto"/>
            </w:rPr>
          </w:pPr>
          <w:r w:rsidRPr="006D2E6D">
            <w:rPr>
              <w:rFonts w:ascii="Times New Roman" w:hAnsi="Times New Roman" w:cs="Times New Roman"/>
            </w:rPr>
            <w:fldChar w:fldCharType="begin"/>
          </w:r>
          <w:r w:rsidR="006D2E6D" w:rsidRPr="006D2E6D">
            <w:rPr>
              <w:rFonts w:ascii="Times New Roman" w:hAnsi="Times New Roman" w:cs="Times New Roman"/>
            </w:rPr>
            <w:instrText xml:space="preserve"> TOC \o "1-3" \h \z \u </w:instrText>
          </w:r>
          <w:r w:rsidRPr="006D2E6D">
            <w:rPr>
              <w:rFonts w:ascii="Times New Roman" w:hAnsi="Times New Roman" w:cs="Times New Roman"/>
            </w:rPr>
            <w:fldChar w:fldCharType="separate"/>
          </w:r>
          <w:hyperlink w:anchor="_Toc517084330" w:history="1">
            <w:r w:rsidR="006D2E6D" w:rsidRPr="006D2E6D">
              <w:rPr>
                <w:rStyle w:val="Hypertextovprepojenie"/>
                <w:rFonts w:ascii="Times New Roman" w:hAnsi="Times New Roman" w:cs="Times New Roman"/>
                <w:noProof/>
              </w:rPr>
              <w:t>I.</w:t>
            </w:r>
            <w:r w:rsidR="006D2E6D" w:rsidRPr="006D2E6D">
              <w:rPr>
                <w:rFonts w:ascii="Times New Roman" w:eastAsiaTheme="minorEastAsia" w:hAnsi="Times New Roman" w:cs="Times New Roman"/>
                <w:noProof/>
                <w:color w:val="auto"/>
              </w:rPr>
              <w:tab/>
            </w:r>
            <w:r w:rsidR="006D2E6D" w:rsidRPr="006D2E6D">
              <w:rPr>
                <w:rStyle w:val="Hypertextovprepojenie"/>
                <w:rFonts w:ascii="Times New Roman" w:hAnsi="Times New Roman" w:cs="Times New Roman"/>
                <w:noProof/>
              </w:rPr>
              <w:t>Analýza hospodárskeho, sociálneho a environmentálneho stavu okresu Bardejov</w:t>
            </w:r>
            <w:r w:rsidR="006D2E6D" w:rsidRPr="006D2E6D">
              <w:rPr>
                <w:rFonts w:ascii="Times New Roman" w:hAnsi="Times New Roman" w:cs="Times New Roman"/>
                <w:noProof/>
                <w:webHidden/>
              </w:rPr>
              <w:tab/>
            </w:r>
            <w:r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_Toc517084330 \h </w:instrText>
            </w:r>
            <w:r w:rsidRPr="006D2E6D">
              <w:rPr>
                <w:rFonts w:ascii="Times New Roman" w:hAnsi="Times New Roman" w:cs="Times New Roman"/>
                <w:noProof/>
                <w:webHidden/>
              </w:rPr>
            </w:r>
            <w:r w:rsidRPr="006D2E6D">
              <w:rPr>
                <w:rFonts w:ascii="Times New Roman" w:hAnsi="Times New Roman" w:cs="Times New Roman"/>
                <w:noProof/>
                <w:webHidden/>
              </w:rPr>
              <w:fldChar w:fldCharType="separate"/>
            </w:r>
            <w:r w:rsidR="00553AB0">
              <w:rPr>
                <w:rFonts w:ascii="Times New Roman" w:hAnsi="Times New Roman" w:cs="Times New Roman"/>
                <w:noProof/>
                <w:webHidden/>
              </w:rPr>
              <w:t>2</w:t>
            </w:r>
            <w:r w:rsidRPr="006D2E6D">
              <w:rPr>
                <w:rFonts w:ascii="Times New Roman" w:hAnsi="Times New Roman" w:cs="Times New Roman"/>
                <w:noProof/>
                <w:webHidden/>
              </w:rPr>
              <w:fldChar w:fldCharType="end"/>
            </w:r>
          </w:hyperlink>
        </w:p>
        <w:p w:rsidR="006D2E6D" w:rsidRPr="006D2E6D" w:rsidRDefault="00553AB0">
          <w:pPr>
            <w:pStyle w:val="Obsah1"/>
            <w:rPr>
              <w:rFonts w:ascii="Times New Roman" w:eastAsiaTheme="minorEastAsia" w:hAnsi="Times New Roman" w:cs="Times New Roman"/>
              <w:noProof/>
              <w:color w:val="auto"/>
            </w:rPr>
          </w:pPr>
          <w:hyperlink w:anchor="_Toc517084339" w:history="1">
            <w:r w:rsidR="006D2E6D" w:rsidRPr="006D2E6D">
              <w:rPr>
                <w:rStyle w:val="Hypertextovprepojenie"/>
                <w:rFonts w:ascii="Times New Roman" w:hAnsi="Times New Roman" w:cs="Times New Roman"/>
                <w:noProof/>
              </w:rPr>
              <w:t>II. Zhodnotenie rozvojového potenciálu okresu Bardejov</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_Toc517084339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18</w:t>
            </w:r>
            <w:r w:rsidR="0032346A" w:rsidRPr="006D2E6D">
              <w:rPr>
                <w:rFonts w:ascii="Times New Roman" w:hAnsi="Times New Roman" w:cs="Times New Roman"/>
                <w:noProof/>
                <w:webHidden/>
              </w:rPr>
              <w:fldChar w:fldCharType="end"/>
            </w:r>
          </w:hyperlink>
        </w:p>
        <w:p w:rsidR="006D2E6D" w:rsidRPr="006D2E6D" w:rsidRDefault="00553AB0">
          <w:pPr>
            <w:pStyle w:val="Obsah1"/>
            <w:rPr>
              <w:rFonts w:ascii="Times New Roman" w:eastAsiaTheme="minorEastAsia" w:hAnsi="Times New Roman" w:cs="Times New Roman"/>
              <w:noProof/>
              <w:color w:val="auto"/>
            </w:rPr>
          </w:pPr>
          <w:hyperlink w:anchor="_Toc517084340" w:history="1">
            <w:r w:rsidR="006D2E6D" w:rsidRPr="006D2E6D">
              <w:rPr>
                <w:rStyle w:val="Hypertextovprepojenie"/>
                <w:rFonts w:ascii="Times New Roman" w:hAnsi="Times New Roman" w:cs="Times New Roman"/>
                <w:noProof/>
              </w:rPr>
              <w:t>III. Východiská Akčného plánu</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_Toc517084340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20</w:t>
            </w:r>
            <w:r w:rsidR="0032346A" w:rsidRPr="006D2E6D">
              <w:rPr>
                <w:rFonts w:ascii="Times New Roman" w:hAnsi="Times New Roman" w:cs="Times New Roman"/>
                <w:noProof/>
                <w:webHidden/>
              </w:rPr>
              <w:fldChar w:fldCharType="end"/>
            </w:r>
          </w:hyperlink>
        </w:p>
        <w:p w:rsidR="006D2E6D" w:rsidRPr="006D2E6D" w:rsidRDefault="00553AB0">
          <w:pPr>
            <w:pStyle w:val="Obsah1"/>
            <w:rPr>
              <w:rFonts w:ascii="Times New Roman" w:eastAsiaTheme="minorEastAsia" w:hAnsi="Times New Roman" w:cs="Times New Roman"/>
              <w:noProof/>
              <w:color w:val="auto"/>
            </w:rPr>
          </w:pPr>
          <w:hyperlink w:anchor="_Toc517084341" w:history="1">
            <w:r w:rsidR="006D2E6D" w:rsidRPr="006D2E6D">
              <w:rPr>
                <w:rStyle w:val="Hypertextovprepojenie"/>
                <w:rFonts w:ascii="Times New Roman" w:hAnsi="Times New Roman" w:cs="Times New Roman"/>
                <w:noProof/>
              </w:rPr>
              <w:t>IV. Strategický cieľ, návrhy opatrení a úloh na zabezpečenie realizácie a plnenia Akčného plánu, časový harmonogram, spôsoby a zdroje financovania</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_Toc517084341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21</w:t>
            </w:r>
            <w:r w:rsidR="0032346A" w:rsidRPr="006D2E6D">
              <w:rPr>
                <w:rFonts w:ascii="Times New Roman" w:hAnsi="Times New Roman" w:cs="Times New Roman"/>
                <w:noProof/>
                <w:webHidden/>
              </w:rPr>
              <w:fldChar w:fldCharType="end"/>
            </w:r>
          </w:hyperlink>
        </w:p>
        <w:p w:rsidR="006D2E6D" w:rsidRPr="006D2E6D" w:rsidRDefault="00553AB0">
          <w:pPr>
            <w:pStyle w:val="Obsah2"/>
            <w:tabs>
              <w:tab w:val="left" w:pos="660"/>
            </w:tabs>
            <w:rPr>
              <w:rFonts w:ascii="Times New Roman" w:eastAsiaTheme="minorEastAsia" w:hAnsi="Times New Roman" w:cs="Times New Roman"/>
              <w:noProof/>
              <w:color w:val="auto"/>
            </w:rPr>
          </w:pPr>
          <w:hyperlink w:anchor="_Toc517084342" w:history="1">
            <w:r w:rsidR="006D2E6D" w:rsidRPr="006D2E6D">
              <w:rPr>
                <w:rStyle w:val="Hypertextovprepojenie"/>
                <w:rFonts w:ascii="Times New Roman" w:hAnsi="Times New Roman" w:cs="Times New Roman"/>
                <w:noProof/>
              </w:rPr>
              <w:t>A.</w:t>
            </w:r>
            <w:r w:rsidR="006D2E6D">
              <w:rPr>
                <w:rStyle w:val="Hypertextovprepojenie"/>
                <w:rFonts w:ascii="Times New Roman" w:hAnsi="Times New Roman" w:cs="Times New Roman"/>
                <w:noProof/>
              </w:rPr>
              <w:t xml:space="preserve"> </w:t>
            </w:r>
            <w:r w:rsidR="006D2E6D" w:rsidRPr="006D2E6D">
              <w:rPr>
                <w:rStyle w:val="Hypertextovprepojenie"/>
                <w:rFonts w:ascii="Times New Roman" w:hAnsi="Times New Roman" w:cs="Times New Roman"/>
                <w:noProof/>
              </w:rPr>
              <w:t>Systémové opatrenia Akčného plánu na úrovni okresu Bardejov</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_Toc517084342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23</w:t>
            </w:r>
            <w:r w:rsidR="0032346A" w:rsidRPr="006D2E6D">
              <w:rPr>
                <w:rFonts w:ascii="Times New Roman" w:hAnsi="Times New Roman" w:cs="Times New Roman"/>
                <w:noProof/>
                <w:webHidden/>
              </w:rPr>
              <w:fldChar w:fldCharType="end"/>
            </w:r>
          </w:hyperlink>
        </w:p>
        <w:p w:rsidR="006D2E6D" w:rsidRPr="006D2E6D" w:rsidRDefault="00553AB0">
          <w:pPr>
            <w:pStyle w:val="Obsah2"/>
            <w:tabs>
              <w:tab w:val="left" w:pos="880"/>
            </w:tabs>
            <w:rPr>
              <w:rFonts w:ascii="Times New Roman" w:eastAsiaTheme="minorEastAsia" w:hAnsi="Times New Roman" w:cs="Times New Roman"/>
              <w:noProof/>
              <w:color w:val="auto"/>
            </w:rPr>
          </w:pPr>
          <w:hyperlink w:anchor="_Toc517084345" w:history="1">
            <w:r w:rsidR="006D2E6D" w:rsidRPr="006D2E6D">
              <w:rPr>
                <w:rStyle w:val="Hypertextovprepojenie"/>
                <w:rFonts w:ascii="Times New Roman" w:hAnsi="Times New Roman" w:cs="Times New Roman"/>
                <w:noProof/>
              </w:rPr>
              <w:t>B. Prioritná oblasť – rozvoj regionálnej ekonomiky a inovácii</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_Toc517084345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25</w:t>
            </w:r>
            <w:r w:rsidR="0032346A" w:rsidRPr="006D2E6D">
              <w:rPr>
                <w:rFonts w:ascii="Times New Roman" w:hAnsi="Times New Roman" w:cs="Times New Roman"/>
                <w:noProof/>
                <w:webHidden/>
              </w:rPr>
              <w:fldChar w:fldCharType="end"/>
            </w:r>
          </w:hyperlink>
        </w:p>
        <w:p w:rsidR="006D2E6D" w:rsidRPr="006D2E6D" w:rsidRDefault="00553AB0">
          <w:pPr>
            <w:pStyle w:val="Obsah2"/>
            <w:rPr>
              <w:rFonts w:ascii="Times New Roman" w:eastAsiaTheme="minorEastAsia" w:hAnsi="Times New Roman" w:cs="Times New Roman"/>
              <w:noProof/>
              <w:color w:val="auto"/>
            </w:rPr>
          </w:pPr>
          <w:hyperlink w:anchor="_Toc517084349" w:history="1">
            <w:r w:rsidR="006D2E6D" w:rsidRPr="006D2E6D">
              <w:rPr>
                <w:rStyle w:val="Hypertextovprepojenie"/>
                <w:rFonts w:ascii="Times New Roman" w:hAnsi="Times New Roman" w:cs="Times New Roman"/>
                <w:noProof/>
              </w:rPr>
              <w:t>C. Prioritná oblasť – vzdelávanie a adaptácia pracovnej sily na potreby trhu</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_Toc517084349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28</w:t>
            </w:r>
            <w:r w:rsidR="0032346A" w:rsidRPr="006D2E6D">
              <w:rPr>
                <w:rFonts w:ascii="Times New Roman" w:hAnsi="Times New Roman" w:cs="Times New Roman"/>
                <w:noProof/>
                <w:webHidden/>
              </w:rPr>
              <w:fldChar w:fldCharType="end"/>
            </w:r>
          </w:hyperlink>
        </w:p>
        <w:p w:rsidR="006D2E6D" w:rsidRPr="006D2E6D" w:rsidRDefault="00553AB0">
          <w:pPr>
            <w:pStyle w:val="Obsah2"/>
            <w:rPr>
              <w:rFonts w:ascii="Times New Roman" w:eastAsiaTheme="minorEastAsia" w:hAnsi="Times New Roman" w:cs="Times New Roman"/>
              <w:noProof/>
              <w:color w:val="auto"/>
            </w:rPr>
          </w:pPr>
          <w:hyperlink w:anchor="_Toc517084353" w:history="1">
            <w:r w:rsidR="006D2E6D" w:rsidRPr="006D2E6D">
              <w:rPr>
                <w:rStyle w:val="Hypertextovprepojenie"/>
                <w:rFonts w:ascii="Times New Roman" w:hAnsi="Times New Roman" w:cs="Times New Roman"/>
                <w:noProof/>
              </w:rPr>
              <w:t>D. Prioritná oblasť - budovanie infraštruktúry, zvýšenie kvality a dostupnosti služieb</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_Toc517084353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31</w:t>
            </w:r>
            <w:r w:rsidR="0032346A" w:rsidRPr="006D2E6D">
              <w:rPr>
                <w:rFonts w:ascii="Times New Roman" w:hAnsi="Times New Roman" w:cs="Times New Roman"/>
                <w:noProof/>
                <w:webHidden/>
              </w:rPr>
              <w:fldChar w:fldCharType="end"/>
            </w:r>
          </w:hyperlink>
        </w:p>
        <w:p w:rsidR="006D2E6D" w:rsidRPr="006D2E6D" w:rsidRDefault="00553AB0">
          <w:pPr>
            <w:pStyle w:val="Obsah2"/>
            <w:rPr>
              <w:rFonts w:ascii="Times New Roman" w:eastAsiaTheme="minorEastAsia" w:hAnsi="Times New Roman" w:cs="Times New Roman"/>
              <w:noProof/>
              <w:color w:val="auto"/>
            </w:rPr>
          </w:pPr>
          <w:hyperlink w:anchor="_Toc517084358" w:history="1">
            <w:r w:rsidR="006D2E6D" w:rsidRPr="006D2E6D">
              <w:rPr>
                <w:rStyle w:val="Hypertextovprepojenie"/>
                <w:rFonts w:ascii="Times New Roman" w:hAnsi="Times New Roman" w:cs="Times New Roman"/>
                <w:noProof/>
              </w:rPr>
              <w:t>E. Prioritná oblasť - starostlivosti o životné prostredie</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_Toc517084358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34</w:t>
            </w:r>
            <w:r w:rsidR="0032346A" w:rsidRPr="006D2E6D">
              <w:rPr>
                <w:rFonts w:ascii="Times New Roman" w:hAnsi="Times New Roman" w:cs="Times New Roman"/>
                <w:noProof/>
                <w:webHidden/>
              </w:rPr>
              <w:fldChar w:fldCharType="end"/>
            </w:r>
          </w:hyperlink>
        </w:p>
        <w:p w:rsidR="006D2E6D" w:rsidRPr="006D2E6D" w:rsidRDefault="00553AB0">
          <w:pPr>
            <w:pStyle w:val="Obsah2"/>
            <w:rPr>
              <w:rFonts w:ascii="Times New Roman" w:eastAsiaTheme="minorEastAsia" w:hAnsi="Times New Roman" w:cs="Times New Roman"/>
              <w:noProof/>
              <w:color w:val="auto"/>
            </w:rPr>
          </w:pPr>
          <w:hyperlink w:anchor="_Toc517084363" w:history="1">
            <w:r w:rsidR="006D2E6D" w:rsidRPr="006D2E6D">
              <w:rPr>
                <w:rStyle w:val="Hypertextovprepojenie"/>
                <w:rFonts w:ascii="Times New Roman" w:hAnsi="Times New Roman" w:cs="Times New Roman"/>
                <w:noProof/>
              </w:rPr>
              <w:t>F. Podporné systémové opatrenia na realizáciu Akčného plánu na úrovni Prešovského samosprávneho kraja</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_Toc517084363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38</w:t>
            </w:r>
            <w:r w:rsidR="0032346A" w:rsidRPr="006D2E6D">
              <w:rPr>
                <w:rFonts w:ascii="Times New Roman" w:hAnsi="Times New Roman" w:cs="Times New Roman"/>
                <w:noProof/>
                <w:webHidden/>
              </w:rPr>
              <w:fldChar w:fldCharType="end"/>
            </w:r>
          </w:hyperlink>
        </w:p>
        <w:p w:rsidR="006D2E6D" w:rsidRPr="006D2E6D" w:rsidRDefault="00553AB0">
          <w:pPr>
            <w:pStyle w:val="Obsah2"/>
            <w:rPr>
              <w:rFonts w:ascii="Times New Roman" w:eastAsiaTheme="minorEastAsia" w:hAnsi="Times New Roman" w:cs="Times New Roman"/>
              <w:noProof/>
              <w:color w:val="auto"/>
            </w:rPr>
          </w:pPr>
          <w:hyperlink w:anchor="_Toc517084364" w:history="1">
            <w:r w:rsidR="006D2E6D" w:rsidRPr="006D2E6D">
              <w:rPr>
                <w:rStyle w:val="Hypertextovprepojenie"/>
                <w:rFonts w:ascii="Times New Roman" w:hAnsi="Times New Roman" w:cs="Times New Roman"/>
                <w:noProof/>
              </w:rPr>
              <w:t>G.  Podporné systémové opatrenia na realizáciu Akčného plánu na úrovni ústrednej štátnej správy</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_Toc517084364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39</w:t>
            </w:r>
            <w:r w:rsidR="0032346A" w:rsidRPr="006D2E6D">
              <w:rPr>
                <w:rFonts w:ascii="Times New Roman" w:hAnsi="Times New Roman" w:cs="Times New Roman"/>
                <w:noProof/>
                <w:webHidden/>
              </w:rPr>
              <w:fldChar w:fldCharType="end"/>
            </w:r>
          </w:hyperlink>
        </w:p>
        <w:p w:rsidR="006D2E6D" w:rsidRPr="006D2E6D" w:rsidRDefault="00553AB0">
          <w:pPr>
            <w:pStyle w:val="Obsah2"/>
            <w:rPr>
              <w:rFonts w:ascii="Times New Roman" w:eastAsiaTheme="minorEastAsia" w:hAnsi="Times New Roman" w:cs="Times New Roman"/>
              <w:noProof/>
              <w:color w:val="auto"/>
            </w:rPr>
          </w:pPr>
          <w:hyperlink w:anchor="_Toc517084365" w:history="1">
            <w:r w:rsidR="006D2E6D" w:rsidRPr="006D2E6D">
              <w:rPr>
                <w:rStyle w:val="Hypertextovprepojenie"/>
                <w:rFonts w:ascii="Times New Roman" w:hAnsi="Times New Roman" w:cs="Times New Roman"/>
                <w:noProof/>
              </w:rPr>
              <w:t>H. Zdroje financovania Akčného plánu</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_Toc517084365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39</w:t>
            </w:r>
            <w:r w:rsidR="0032346A" w:rsidRPr="006D2E6D">
              <w:rPr>
                <w:rFonts w:ascii="Times New Roman" w:hAnsi="Times New Roman" w:cs="Times New Roman"/>
                <w:noProof/>
                <w:webHidden/>
              </w:rPr>
              <w:fldChar w:fldCharType="end"/>
            </w:r>
          </w:hyperlink>
        </w:p>
        <w:p w:rsidR="006D2E6D" w:rsidRPr="006D2E6D" w:rsidRDefault="00553AB0">
          <w:pPr>
            <w:pStyle w:val="Obsah1"/>
            <w:rPr>
              <w:rFonts w:ascii="Times New Roman" w:eastAsiaTheme="minorEastAsia" w:hAnsi="Times New Roman" w:cs="Times New Roman"/>
              <w:noProof/>
              <w:color w:val="auto"/>
            </w:rPr>
          </w:pPr>
          <w:hyperlink w:anchor="_Toc517084366" w:history="1">
            <w:r w:rsidR="006D2E6D" w:rsidRPr="006D2E6D">
              <w:rPr>
                <w:rStyle w:val="Hypertextovprepojenie"/>
                <w:rFonts w:ascii="Times New Roman" w:hAnsi="Times New Roman" w:cs="Times New Roman"/>
                <w:noProof/>
              </w:rPr>
              <w:t>V. Proces monitorovania a hodnotenia dosiahnutého pokroku v zlepšení hospodárskej, sociálnej a environmentálnej situácii v okrese Bardejov</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_Toc517084366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41</w:t>
            </w:r>
            <w:r w:rsidR="0032346A" w:rsidRPr="006D2E6D">
              <w:rPr>
                <w:rFonts w:ascii="Times New Roman" w:hAnsi="Times New Roman" w:cs="Times New Roman"/>
                <w:noProof/>
                <w:webHidden/>
              </w:rPr>
              <w:fldChar w:fldCharType="end"/>
            </w:r>
          </w:hyperlink>
        </w:p>
        <w:p w:rsidR="006D2E6D" w:rsidRDefault="00553AB0">
          <w:pPr>
            <w:pStyle w:val="Obsah1"/>
            <w:rPr>
              <w:rFonts w:ascii="Times New Roman" w:hAnsi="Times New Roman" w:cs="Times New Roman"/>
              <w:noProof/>
            </w:rPr>
          </w:pPr>
          <w:hyperlink w:anchor="_Toc517084367" w:history="1">
            <w:r w:rsidR="006D2E6D" w:rsidRPr="006D2E6D">
              <w:rPr>
                <w:rStyle w:val="Hypertextovprepojenie"/>
                <w:rFonts w:ascii="Times New Roman" w:hAnsi="Times New Roman" w:cs="Times New Roman"/>
                <w:noProof/>
              </w:rPr>
              <w:t>VI.  Integrácia už existujúcich rezortných</w:t>
            </w:r>
            <w:r w:rsidR="006D2E6D">
              <w:rPr>
                <w:rStyle w:val="Hypertextovprepojenie"/>
                <w:rFonts w:ascii="Times New Roman" w:hAnsi="Times New Roman" w:cs="Times New Roman"/>
                <w:noProof/>
              </w:rPr>
              <w:t xml:space="preserve"> programov, resp. prierezových</w:t>
            </w:r>
            <w:r w:rsidR="006D2E6D" w:rsidRPr="006D2E6D">
              <w:rPr>
                <w:rStyle w:val="Hypertextovprepojenie"/>
                <w:rFonts w:ascii="Times New Roman" w:hAnsi="Times New Roman" w:cs="Times New Roman"/>
                <w:noProof/>
              </w:rPr>
              <w:t xml:space="preserve"> programov a návrh odstránenia prekážok na ich využívanie</w:t>
            </w:r>
            <w:r w:rsidR="006D2E6D" w:rsidRPr="006D2E6D">
              <w:rPr>
                <w:rFonts w:ascii="Times New Roman" w:hAnsi="Times New Roman" w:cs="Times New Roman"/>
                <w:noProof/>
                <w:webHidden/>
              </w:rPr>
              <w:tab/>
            </w:r>
            <w:r w:rsidR="0032346A" w:rsidRPr="006D2E6D">
              <w:rPr>
                <w:rFonts w:ascii="Times New Roman" w:hAnsi="Times New Roman" w:cs="Times New Roman"/>
                <w:noProof/>
                <w:webHidden/>
              </w:rPr>
              <w:fldChar w:fldCharType="begin"/>
            </w:r>
            <w:r w:rsidR="006D2E6D" w:rsidRPr="006D2E6D">
              <w:rPr>
                <w:rFonts w:ascii="Times New Roman" w:hAnsi="Times New Roman" w:cs="Times New Roman"/>
                <w:noProof/>
                <w:webHidden/>
              </w:rPr>
              <w:instrText xml:space="preserve"> PAGEREF _Toc517084367 \h </w:instrText>
            </w:r>
            <w:r w:rsidR="0032346A" w:rsidRPr="006D2E6D">
              <w:rPr>
                <w:rFonts w:ascii="Times New Roman" w:hAnsi="Times New Roman" w:cs="Times New Roman"/>
                <w:noProof/>
                <w:webHidden/>
              </w:rPr>
            </w:r>
            <w:r w:rsidR="0032346A" w:rsidRPr="006D2E6D">
              <w:rPr>
                <w:rFonts w:ascii="Times New Roman" w:hAnsi="Times New Roman" w:cs="Times New Roman"/>
                <w:noProof/>
                <w:webHidden/>
              </w:rPr>
              <w:fldChar w:fldCharType="separate"/>
            </w:r>
            <w:r>
              <w:rPr>
                <w:rFonts w:ascii="Times New Roman" w:hAnsi="Times New Roman" w:cs="Times New Roman"/>
                <w:noProof/>
                <w:webHidden/>
              </w:rPr>
              <w:t>42</w:t>
            </w:r>
            <w:r w:rsidR="0032346A" w:rsidRPr="006D2E6D">
              <w:rPr>
                <w:rFonts w:ascii="Times New Roman" w:hAnsi="Times New Roman" w:cs="Times New Roman"/>
                <w:noProof/>
                <w:webHidden/>
              </w:rPr>
              <w:fldChar w:fldCharType="end"/>
            </w:r>
          </w:hyperlink>
        </w:p>
        <w:p w:rsidR="006C5E6A" w:rsidRPr="006D2E6D" w:rsidRDefault="006C5E6A">
          <w:pPr>
            <w:pStyle w:val="Obsah1"/>
            <w:rPr>
              <w:rFonts w:ascii="Times New Roman" w:eastAsiaTheme="minorEastAsia" w:hAnsi="Times New Roman" w:cs="Times New Roman"/>
              <w:noProof/>
              <w:color w:val="auto"/>
            </w:rPr>
          </w:pPr>
          <w:r w:rsidRPr="006C5E6A">
            <w:rPr>
              <w:rFonts w:ascii="Times New Roman" w:eastAsiaTheme="minorEastAsia" w:hAnsi="Times New Roman" w:cs="Times New Roman"/>
              <w:noProof/>
              <w:color w:val="auto"/>
            </w:rPr>
            <w:t>Príloha: Predpokladané čerpanie  regionálneho príspevku podľa jednotlivých priorít v roku 2018</w:t>
          </w:r>
          <w:r>
            <w:rPr>
              <w:rFonts w:ascii="Times New Roman" w:eastAsiaTheme="minorEastAsia" w:hAnsi="Times New Roman" w:cs="Times New Roman"/>
              <w:noProof/>
              <w:color w:val="auto"/>
            </w:rPr>
            <w:t>......45</w:t>
          </w:r>
        </w:p>
        <w:p w:rsidR="006D2E6D" w:rsidRDefault="0032346A" w:rsidP="006D2E6D">
          <w:pPr>
            <w:rPr>
              <w:rFonts w:eastAsiaTheme="majorEastAsia"/>
              <w:sz w:val="28"/>
            </w:rPr>
          </w:pPr>
          <w:r w:rsidRPr="006D2E6D">
            <w:rPr>
              <w:rFonts w:cs="Times New Roman"/>
              <w:b/>
              <w:bCs/>
            </w:rPr>
            <w:fldChar w:fldCharType="end"/>
          </w:r>
        </w:p>
      </w:sdtContent>
    </w:sdt>
    <w:p w:rsidR="004D2CA9" w:rsidRDefault="004D2CA9" w:rsidP="00C90BE5">
      <w:pPr>
        <w:spacing w:after="0" w:line="240" w:lineRule="auto"/>
        <w:jc w:val="left"/>
        <w:rPr>
          <w:rStyle w:val="slostrany"/>
          <w:b/>
          <w:bCs/>
          <w:sz w:val="28"/>
          <w:szCs w:val="28"/>
        </w:rPr>
      </w:pPr>
      <w:bookmarkStart w:id="1" w:name="_Toc517084330"/>
      <w:r>
        <w:rPr>
          <w:rStyle w:val="slostrany"/>
          <w:b/>
          <w:bCs/>
          <w:sz w:val="28"/>
          <w:szCs w:val="28"/>
        </w:rPr>
        <w:br w:type="page"/>
      </w:r>
      <w:bookmarkStart w:id="2" w:name="_GoBack"/>
      <w:bookmarkEnd w:id="2"/>
    </w:p>
    <w:p w:rsidR="00C90BE5" w:rsidRPr="00C90BE5" w:rsidRDefault="004D2CA9" w:rsidP="00C90BE5">
      <w:pPr>
        <w:spacing w:after="0" w:line="240" w:lineRule="auto"/>
        <w:jc w:val="left"/>
        <w:rPr>
          <w:rStyle w:val="slostrany"/>
          <w:rFonts w:eastAsia="Times New Roman"/>
          <w:b/>
          <w:bCs/>
          <w:sz w:val="28"/>
          <w:szCs w:val="28"/>
        </w:rPr>
      </w:pPr>
      <w:r>
        <w:rPr>
          <w:rStyle w:val="slostrany"/>
          <w:b/>
          <w:bCs/>
          <w:sz w:val="28"/>
          <w:szCs w:val="28"/>
        </w:rPr>
        <w:lastRenderedPageBreak/>
        <w:t>Z</w:t>
      </w:r>
      <w:r w:rsidR="00C90BE5" w:rsidRPr="00C90BE5">
        <w:rPr>
          <w:rStyle w:val="slostrany"/>
          <w:b/>
          <w:bCs/>
          <w:sz w:val="28"/>
          <w:szCs w:val="28"/>
        </w:rPr>
        <w:t>oznam skratiek</w:t>
      </w:r>
    </w:p>
    <w:p w:rsidR="00C90BE5" w:rsidRDefault="00C90BE5" w:rsidP="00C90BE5">
      <w:pPr>
        <w:tabs>
          <w:tab w:val="left" w:pos="993"/>
        </w:tabs>
        <w:spacing w:after="0" w:line="240" w:lineRule="auto"/>
        <w:rPr>
          <w:rStyle w:val="slostrany"/>
          <w:b/>
          <w:bCs/>
          <w:sz w:val="24"/>
          <w:szCs w:val="24"/>
        </w:rPr>
      </w:pPr>
    </w:p>
    <w:p w:rsidR="00C90BE5" w:rsidRDefault="00C90BE5" w:rsidP="00C90BE5">
      <w:pPr>
        <w:tabs>
          <w:tab w:val="left" w:pos="993"/>
        </w:tabs>
        <w:spacing w:after="0" w:line="240" w:lineRule="auto"/>
        <w:rPr>
          <w:rStyle w:val="slostrany"/>
          <w:b/>
          <w:bCs/>
          <w:sz w:val="24"/>
          <w:szCs w:val="24"/>
        </w:rPr>
      </w:pPr>
      <w:r>
        <w:rPr>
          <w:rStyle w:val="slostrany"/>
          <w:b/>
          <w:bCs/>
          <w:sz w:val="24"/>
          <w:szCs w:val="24"/>
        </w:rPr>
        <w:t>ČR</w:t>
      </w:r>
      <w:r>
        <w:rPr>
          <w:rStyle w:val="slostrany"/>
          <w:b/>
          <w:bCs/>
          <w:sz w:val="24"/>
          <w:szCs w:val="24"/>
        </w:rPr>
        <w:tab/>
      </w:r>
      <w:r>
        <w:rPr>
          <w:rStyle w:val="slostrany"/>
          <w:b/>
          <w:bCs/>
          <w:sz w:val="24"/>
          <w:szCs w:val="24"/>
        </w:rPr>
        <w:tab/>
      </w:r>
      <w:r>
        <w:rPr>
          <w:rStyle w:val="slostrany"/>
          <w:b/>
          <w:bCs/>
          <w:sz w:val="24"/>
          <w:szCs w:val="24"/>
        </w:rPr>
        <w:tab/>
      </w:r>
      <w:r>
        <w:rPr>
          <w:rStyle w:val="slostrany"/>
          <w:bCs/>
          <w:sz w:val="24"/>
          <w:szCs w:val="24"/>
        </w:rPr>
        <w:t>Česká republika</w:t>
      </w:r>
    </w:p>
    <w:p w:rsidR="00C90BE5" w:rsidRDefault="00C90BE5" w:rsidP="00C90BE5">
      <w:pPr>
        <w:tabs>
          <w:tab w:val="left" w:pos="993"/>
        </w:tabs>
        <w:spacing w:after="0" w:line="240" w:lineRule="auto"/>
        <w:rPr>
          <w:rStyle w:val="slostrany"/>
          <w:b/>
          <w:bCs/>
          <w:sz w:val="24"/>
          <w:szCs w:val="24"/>
        </w:rPr>
      </w:pPr>
      <w:r>
        <w:rPr>
          <w:rStyle w:val="slostrany"/>
          <w:b/>
          <w:bCs/>
          <w:sz w:val="24"/>
          <w:szCs w:val="24"/>
        </w:rPr>
        <w:t>DSS</w:t>
      </w:r>
      <w:r>
        <w:rPr>
          <w:rStyle w:val="slostrany"/>
          <w:b/>
          <w:bCs/>
          <w:sz w:val="24"/>
          <w:szCs w:val="24"/>
        </w:rPr>
        <w:tab/>
      </w:r>
      <w:r>
        <w:rPr>
          <w:rStyle w:val="slostrany"/>
          <w:b/>
          <w:bCs/>
          <w:sz w:val="24"/>
          <w:szCs w:val="24"/>
        </w:rPr>
        <w:tab/>
      </w:r>
      <w:r>
        <w:rPr>
          <w:rStyle w:val="slostrany"/>
          <w:b/>
          <w:bCs/>
          <w:sz w:val="24"/>
          <w:szCs w:val="24"/>
        </w:rPr>
        <w:tab/>
      </w:r>
      <w:r>
        <w:rPr>
          <w:rStyle w:val="slostrany"/>
          <w:bCs/>
          <w:sz w:val="24"/>
          <w:szCs w:val="24"/>
        </w:rPr>
        <w:t>domov sociálnych služieb</w:t>
      </w:r>
    </w:p>
    <w:p w:rsidR="00C90BE5" w:rsidRDefault="00C90BE5" w:rsidP="00C90BE5">
      <w:pPr>
        <w:tabs>
          <w:tab w:val="left" w:pos="993"/>
        </w:tabs>
        <w:spacing w:after="0" w:line="240" w:lineRule="auto"/>
        <w:ind w:left="2130" w:hanging="2130"/>
        <w:rPr>
          <w:rStyle w:val="slostrany"/>
          <w:rFonts w:eastAsia="Times New Roman"/>
          <w:sz w:val="24"/>
          <w:szCs w:val="24"/>
        </w:rPr>
      </w:pPr>
      <w:r>
        <w:rPr>
          <w:rStyle w:val="slostrany"/>
          <w:b/>
          <w:bCs/>
          <w:sz w:val="24"/>
          <w:szCs w:val="24"/>
        </w:rPr>
        <w:t>ERDF</w:t>
      </w:r>
      <w:r>
        <w:rPr>
          <w:rStyle w:val="slostrany"/>
          <w:rFonts w:eastAsia="Times New Roman"/>
          <w:sz w:val="24"/>
          <w:szCs w:val="24"/>
        </w:rPr>
        <w:tab/>
      </w:r>
      <w:r>
        <w:rPr>
          <w:rStyle w:val="slostrany"/>
          <w:rFonts w:eastAsia="Times New Roman"/>
          <w:sz w:val="24"/>
          <w:szCs w:val="24"/>
        </w:rPr>
        <w:tab/>
        <w:t>European Regional Development Fund (Eur</w:t>
      </w:r>
      <w:r>
        <w:rPr>
          <w:rStyle w:val="slostrany"/>
          <w:sz w:val="24"/>
          <w:szCs w:val="24"/>
        </w:rPr>
        <w:t>ópsky fond regionálneho rozvoja)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ESF</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Eur</w:t>
      </w:r>
      <w:r>
        <w:rPr>
          <w:rStyle w:val="slostrany"/>
          <w:sz w:val="24"/>
          <w:szCs w:val="24"/>
        </w:rPr>
        <w:t xml:space="preserve">ópsky sociálny </w:t>
      </w:r>
      <w:r>
        <w:rPr>
          <w:rStyle w:val="slostrany"/>
          <w:bCs/>
          <w:sz w:val="24"/>
          <w:szCs w:val="24"/>
        </w:rPr>
        <w:t>fond</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EŠIF</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Eur</w:t>
      </w:r>
      <w:r>
        <w:rPr>
          <w:rStyle w:val="slostrany"/>
          <w:sz w:val="24"/>
          <w:szCs w:val="24"/>
        </w:rPr>
        <w:t>ópske štrukturálne a investičné fondy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IROP</w:t>
      </w:r>
      <w:r>
        <w:rPr>
          <w:rStyle w:val="slostrany"/>
          <w:sz w:val="24"/>
          <w:szCs w:val="24"/>
        </w:rPr>
        <w:t xml:space="preserve"> </w:t>
      </w:r>
      <w:r>
        <w:rPr>
          <w:rStyle w:val="slostrany"/>
          <w:sz w:val="24"/>
          <w:szCs w:val="24"/>
        </w:rPr>
        <w:tab/>
      </w:r>
      <w:r>
        <w:rPr>
          <w:rStyle w:val="slostrany"/>
          <w:sz w:val="24"/>
          <w:szCs w:val="24"/>
        </w:rPr>
        <w:tab/>
      </w:r>
      <w:r>
        <w:rPr>
          <w:rStyle w:val="slostrany"/>
          <w:sz w:val="24"/>
          <w:szCs w:val="24"/>
        </w:rPr>
        <w:tab/>
        <w:t xml:space="preserve">Integrovaný regionálny operačný program </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MAS</w:t>
      </w:r>
      <w:r>
        <w:rPr>
          <w:rStyle w:val="slostrany"/>
          <w:sz w:val="24"/>
          <w:szCs w:val="24"/>
        </w:rPr>
        <w:t xml:space="preserve"> </w:t>
      </w:r>
      <w:r>
        <w:rPr>
          <w:rStyle w:val="slostrany"/>
          <w:sz w:val="24"/>
          <w:szCs w:val="24"/>
        </w:rPr>
        <w:tab/>
      </w:r>
      <w:r>
        <w:rPr>
          <w:rStyle w:val="slostrany"/>
          <w:sz w:val="24"/>
          <w:szCs w:val="24"/>
        </w:rPr>
        <w:tab/>
      </w:r>
      <w:r>
        <w:rPr>
          <w:rStyle w:val="slostrany"/>
          <w:sz w:val="24"/>
          <w:szCs w:val="24"/>
        </w:rPr>
        <w:tab/>
        <w:t>miestna akčná skupina</w:t>
      </w:r>
    </w:p>
    <w:p w:rsidR="00C90BE5" w:rsidRDefault="00C90BE5" w:rsidP="00C90BE5">
      <w:pPr>
        <w:tabs>
          <w:tab w:val="left" w:pos="993"/>
        </w:tabs>
        <w:spacing w:after="0" w:line="240" w:lineRule="auto"/>
        <w:ind w:left="2124" w:hanging="2124"/>
        <w:rPr>
          <w:rStyle w:val="slostrany"/>
          <w:rFonts w:eastAsia="Times New Roman"/>
          <w:sz w:val="24"/>
          <w:szCs w:val="24"/>
        </w:rPr>
      </w:pPr>
      <w:r>
        <w:rPr>
          <w:rStyle w:val="slostrany"/>
          <w:b/>
          <w:bCs/>
          <w:sz w:val="24"/>
          <w:szCs w:val="24"/>
        </w:rPr>
        <w:t>MDV SR</w:t>
      </w:r>
      <w:r>
        <w:rPr>
          <w:rStyle w:val="slostrany"/>
          <w:rFonts w:eastAsia="Times New Roman"/>
          <w:sz w:val="24"/>
          <w:szCs w:val="24"/>
        </w:rPr>
        <w:tab/>
      </w:r>
      <w:r>
        <w:rPr>
          <w:rStyle w:val="slostrany"/>
          <w:rFonts w:eastAsia="Times New Roman"/>
          <w:sz w:val="24"/>
          <w:szCs w:val="24"/>
        </w:rPr>
        <w:tab/>
        <w:t>Ministerstvo dopravy a v</w:t>
      </w:r>
      <w:r>
        <w:rPr>
          <w:rStyle w:val="slostrany"/>
          <w:sz w:val="24"/>
          <w:szCs w:val="24"/>
        </w:rPr>
        <w:t>ýstavby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MF SR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Ministerstvo financi</w:t>
      </w:r>
      <w:r>
        <w:rPr>
          <w:rStyle w:val="slostrany"/>
          <w:sz w:val="24"/>
          <w:szCs w:val="24"/>
        </w:rPr>
        <w:t>í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MH SR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Ministerstvo hospod</w:t>
      </w:r>
      <w:r>
        <w:rPr>
          <w:rStyle w:val="slostrany"/>
          <w:sz w:val="24"/>
          <w:szCs w:val="24"/>
        </w:rPr>
        <w:t xml:space="preserve">árstva Slovenskej republiky </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MPRV SR</w:t>
      </w:r>
      <w:r>
        <w:rPr>
          <w:rStyle w:val="slostrany"/>
          <w:rFonts w:eastAsia="Times New Roman"/>
          <w:sz w:val="24"/>
          <w:szCs w:val="24"/>
        </w:rPr>
        <w:tab/>
      </w:r>
      <w:r>
        <w:rPr>
          <w:rStyle w:val="slostrany"/>
          <w:rFonts w:eastAsia="Times New Roman"/>
          <w:sz w:val="24"/>
          <w:szCs w:val="24"/>
        </w:rPr>
        <w:tab/>
        <w:t>Ministerstvo p</w:t>
      </w:r>
      <w:r>
        <w:rPr>
          <w:rStyle w:val="slostrany"/>
          <w:sz w:val="24"/>
          <w:szCs w:val="24"/>
        </w:rPr>
        <w:t>ôdohospodárstva a rozvoja vidieka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MPSVR SR</w:t>
      </w:r>
      <w:r>
        <w:rPr>
          <w:rStyle w:val="slostrany"/>
          <w:rFonts w:eastAsia="Times New Roman"/>
          <w:sz w:val="24"/>
          <w:szCs w:val="24"/>
        </w:rPr>
        <w:tab/>
      </w:r>
      <w:r>
        <w:rPr>
          <w:rStyle w:val="slostrany"/>
          <w:rFonts w:eastAsia="Times New Roman"/>
          <w:sz w:val="24"/>
          <w:szCs w:val="24"/>
        </w:rPr>
        <w:tab/>
        <w:t>Ministerstvo pr</w:t>
      </w:r>
      <w:r>
        <w:rPr>
          <w:rStyle w:val="slostrany"/>
          <w:sz w:val="24"/>
          <w:szCs w:val="24"/>
        </w:rPr>
        <w:t>áce, sociálnych vecí a rodiny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MSP</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mal</w:t>
      </w:r>
      <w:r>
        <w:rPr>
          <w:rStyle w:val="slostrany"/>
          <w:sz w:val="24"/>
          <w:szCs w:val="24"/>
        </w:rPr>
        <w:t>é a stredné podniky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 xml:space="preserve">MŠ </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matersk</w:t>
      </w:r>
      <w:r>
        <w:rPr>
          <w:rStyle w:val="slostrany"/>
          <w:sz w:val="24"/>
          <w:szCs w:val="24"/>
        </w:rPr>
        <w:t>á škola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MŠVVŠ SR</w:t>
      </w:r>
      <w:r>
        <w:rPr>
          <w:rStyle w:val="slostrany"/>
          <w:rFonts w:eastAsia="Times New Roman"/>
          <w:sz w:val="24"/>
          <w:szCs w:val="24"/>
        </w:rPr>
        <w:tab/>
      </w:r>
      <w:r>
        <w:rPr>
          <w:rStyle w:val="slostrany"/>
          <w:rFonts w:eastAsia="Times New Roman"/>
          <w:sz w:val="24"/>
          <w:szCs w:val="24"/>
        </w:rPr>
        <w:tab/>
        <w:t xml:space="preserve">Ministerstvo </w:t>
      </w:r>
      <w:r>
        <w:rPr>
          <w:rStyle w:val="slostrany"/>
          <w:sz w:val="24"/>
          <w:szCs w:val="24"/>
        </w:rPr>
        <w:t>školstva, vedy, výskumu a športu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MV SR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Ministerstvo vn</w:t>
      </w:r>
      <w:r>
        <w:rPr>
          <w:rStyle w:val="slostrany"/>
          <w:sz w:val="24"/>
          <w:szCs w:val="24"/>
        </w:rPr>
        <w:t>útra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MZ SR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Ministerstvo zdravotn</w:t>
      </w:r>
      <w:r>
        <w:rPr>
          <w:rStyle w:val="slostrany"/>
          <w:sz w:val="24"/>
          <w:szCs w:val="24"/>
        </w:rPr>
        <w:t>íctva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MŽP SR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 xml:space="preserve">Ministerstvo </w:t>
      </w:r>
      <w:r>
        <w:rPr>
          <w:rStyle w:val="slostrany"/>
          <w:sz w:val="24"/>
          <w:szCs w:val="24"/>
        </w:rPr>
        <w:t>životného prostredia Slovenskej republiky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NP</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N</w:t>
      </w:r>
      <w:r>
        <w:rPr>
          <w:rStyle w:val="slostrany"/>
          <w:sz w:val="24"/>
          <w:szCs w:val="24"/>
        </w:rPr>
        <w:t>árodný projekt</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NRO</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najmenej rozvinut</w:t>
      </w:r>
      <w:r>
        <w:rPr>
          <w:rStyle w:val="slostrany"/>
          <w:sz w:val="24"/>
          <w:szCs w:val="24"/>
        </w:rPr>
        <w:t>ý okres</w:t>
      </w:r>
    </w:p>
    <w:p w:rsidR="00C90BE5" w:rsidRDefault="00C90BE5" w:rsidP="00C90BE5">
      <w:pPr>
        <w:tabs>
          <w:tab w:val="left" w:pos="993"/>
        </w:tabs>
        <w:spacing w:after="0" w:line="240" w:lineRule="auto"/>
        <w:rPr>
          <w:rStyle w:val="slostrany"/>
          <w:b/>
          <w:bCs/>
          <w:sz w:val="24"/>
          <w:szCs w:val="24"/>
        </w:rPr>
      </w:pPr>
      <w:r>
        <w:rPr>
          <w:rStyle w:val="slostrany"/>
          <w:b/>
          <w:bCs/>
          <w:sz w:val="24"/>
          <w:szCs w:val="24"/>
        </w:rPr>
        <w:t>ODM</w:t>
      </w:r>
      <w:r>
        <w:rPr>
          <w:rStyle w:val="slostrany"/>
          <w:b/>
          <w:bCs/>
          <w:sz w:val="24"/>
          <w:szCs w:val="24"/>
        </w:rPr>
        <w:tab/>
      </w:r>
      <w:r>
        <w:rPr>
          <w:rStyle w:val="slostrany"/>
          <w:b/>
          <w:bCs/>
          <w:sz w:val="24"/>
          <w:szCs w:val="24"/>
        </w:rPr>
        <w:tab/>
      </w:r>
      <w:r>
        <w:rPr>
          <w:rStyle w:val="slostrany"/>
          <w:b/>
          <w:bCs/>
          <w:sz w:val="24"/>
          <w:szCs w:val="24"/>
        </w:rPr>
        <w:tab/>
      </w:r>
      <w:r>
        <w:rPr>
          <w:rStyle w:val="slostrany"/>
          <w:bCs/>
          <w:sz w:val="24"/>
          <w:szCs w:val="24"/>
        </w:rPr>
        <w:t>organizácia destinačného manažmentu</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OP</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Opera</w:t>
      </w:r>
      <w:r>
        <w:rPr>
          <w:rStyle w:val="slostrany"/>
          <w:sz w:val="24"/>
          <w:szCs w:val="24"/>
        </w:rPr>
        <w:t>čný program</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OP KŽP</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Opera</w:t>
      </w:r>
      <w:r>
        <w:rPr>
          <w:rStyle w:val="slostrany"/>
          <w:sz w:val="24"/>
          <w:szCs w:val="24"/>
        </w:rPr>
        <w:t>čný program Kvalita životného prostredia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OP ĽZ</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Opera</w:t>
      </w:r>
      <w:r>
        <w:rPr>
          <w:rStyle w:val="slostrany"/>
          <w:sz w:val="24"/>
          <w:szCs w:val="24"/>
        </w:rPr>
        <w:t>čný program Ľudské zdroje</w:t>
      </w:r>
    </w:p>
    <w:p w:rsidR="00C90BE5" w:rsidRDefault="00C90BE5" w:rsidP="00C90BE5">
      <w:pPr>
        <w:tabs>
          <w:tab w:val="left" w:pos="993"/>
        </w:tabs>
        <w:spacing w:after="0" w:line="240" w:lineRule="auto"/>
        <w:rPr>
          <w:rStyle w:val="slostrany"/>
          <w:sz w:val="24"/>
          <w:szCs w:val="24"/>
        </w:rPr>
      </w:pPr>
      <w:r>
        <w:rPr>
          <w:rStyle w:val="slostrany"/>
          <w:b/>
          <w:bCs/>
          <w:sz w:val="24"/>
          <w:szCs w:val="24"/>
        </w:rPr>
        <w:t>OP VaI</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Opera</w:t>
      </w:r>
      <w:r>
        <w:rPr>
          <w:rStyle w:val="slostrany"/>
          <w:sz w:val="24"/>
          <w:szCs w:val="24"/>
        </w:rPr>
        <w:t>čný program Výskum a inovácie</w:t>
      </w:r>
    </w:p>
    <w:p w:rsidR="00C90BE5" w:rsidRDefault="00C90BE5" w:rsidP="00C90BE5">
      <w:pPr>
        <w:tabs>
          <w:tab w:val="left" w:pos="993"/>
        </w:tabs>
        <w:spacing w:after="0" w:line="240" w:lineRule="auto"/>
        <w:rPr>
          <w:rStyle w:val="slostrany"/>
          <w:sz w:val="24"/>
          <w:szCs w:val="24"/>
        </w:rPr>
      </w:pPr>
      <w:r>
        <w:rPr>
          <w:rStyle w:val="slostrany"/>
          <w:b/>
          <w:bCs/>
          <w:sz w:val="24"/>
          <w:szCs w:val="24"/>
        </w:rPr>
        <w:t>PO</w:t>
      </w:r>
      <w:r>
        <w:rPr>
          <w:rStyle w:val="slostrany"/>
          <w:sz w:val="24"/>
          <w:szCs w:val="24"/>
        </w:rPr>
        <w:t xml:space="preserve"> </w:t>
      </w:r>
      <w:r>
        <w:rPr>
          <w:rStyle w:val="slostrany"/>
          <w:sz w:val="24"/>
          <w:szCs w:val="24"/>
        </w:rPr>
        <w:tab/>
      </w:r>
      <w:r>
        <w:rPr>
          <w:rStyle w:val="slostrany"/>
          <w:sz w:val="24"/>
          <w:szCs w:val="24"/>
        </w:rPr>
        <w:tab/>
      </w:r>
      <w:r>
        <w:rPr>
          <w:rStyle w:val="slostrany"/>
          <w:sz w:val="24"/>
          <w:szCs w:val="24"/>
        </w:rPr>
        <w:tab/>
        <w:t>právnické osoby</w:t>
      </w:r>
    </w:p>
    <w:p w:rsidR="00C90BE5" w:rsidRDefault="00C90BE5" w:rsidP="00C90BE5">
      <w:pPr>
        <w:tabs>
          <w:tab w:val="left" w:pos="993"/>
        </w:tabs>
        <w:spacing w:after="0" w:line="240" w:lineRule="auto"/>
        <w:rPr>
          <w:rStyle w:val="slostrany"/>
          <w:sz w:val="24"/>
          <w:szCs w:val="24"/>
        </w:rPr>
      </w:pPr>
      <w:r>
        <w:rPr>
          <w:rStyle w:val="slostrany"/>
          <w:b/>
          <w:sz w:val="24"/>
          <w:szCs w:val="24"/>
        </w:rPr>
        <w:t>PR</w:t>
      </w:r>
      <w:r>
        <w:rPr>
          <w:rStyle w:val="slostrany"/>
          <w:sz w:val="24"/>
          <w:szCs w:val="24"/>
        </w:rPr>
        <w:tab/>
      </w:r>
      <w:r>
        <w:rPr>
          <w:rStyle w:val="slostrany"/>
          <w:sz w:val="24"/>
          <w:szCs w:val="24"/>
        </w:rPr>
        <w:tab/>
      </w:r>
      <w:r>
        <w:rPr>
          <w:rStyle w:val="slostrany"/>
          <w:sz w:val="24"/>
          <w:szCs w:val="24"/>
        </w:rPr>
        <w:tab/>
        <w:t>Poľská republika</w:t>
      </w:r>
    </w:p>
    <w:p w:rsidR="00C90BE5" w:rsidRDefault="00C90BE5" w:rsidP="00C90BE5">
      <w:pPr>
        <w:tabs>
          <w:tab w:val="left" w:pos="993"/>
        </w:tabs>
        <w:spacing w:after="0" w:line="240" w:lineRule="auto"/>
        <w:rPr>
          <w:rStyle w:val="slostrany"/>
          <w:rFonts w:eastAsia="Times New Roman"/>
          <w:sz w:val="24"/>
          <w:szCs w:val="24"/>
        </w:rPr>
      </w:pPr>
      <w:r>
        <w:rPr>
          <w:rStyle w:val="slostrany"/>
          <w:b/>
          <w:sz w:val="24"/>
          <w:szCs w:val="24"/>
        </w:rPr>
        <w:t>PSK</w:t>
      </w:r>
      <w:r>
        <w:rPr>
          <w:rStyle w:val="slostrany"/>
          <w:sz w:val="24"/>
          <w:szCs w:val="24"/>
        </w:rPr>
        <w:tab/>
      </w:r>
      <w:r>
        <w:rPr>
          <w:rStyle w:val="slostrany"/>
          <w:sz w:val="24"/>
          <w:szCs w:val="24"/>
        </w:rPr>
        <w:tab/>
      </w:r>
      <w:r>
        <w:rPr>
          <w:rStyle w:val="slostrany"/>
          <w:sz w:val="24"/>
          <w:szCs w:val="24"/>
        </w:rPr>
        <w:tab/>
        <w:t>Prešovský samosprávny kraj</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PRV</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Program rozvoja vidieka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RP</w:t>
      </w:r>
      <w:r>
        <w:rPr>
          <w:rStyle w:val="slostrany"/>
          <w:sz w:val="24"/>
          <w:szCs w:val="24"/>
        </w:rPr>
        <w:t xml:space="preserve"> </w:t>
      </w:r>
      <w:r>
        <w:rPr>
          <w:rStyle w:val="slostrany"/>
          <w:sz w:val="24"/>
          <w:szCs w:val="24"/>
        </w:rPr>
        <w:tab/>
      </w:r>
      <w:r>
        <w:rPr>
          <w:rStyle w:val="slostrany"/>
          <w:sz w:val="24"/>
          <w:szCs w:val="24"/>
        </w:rPr>
        <w:tab/>
      </w:r>
      <w:r>
        <w:rPr>
          <w:rStyle w:val="slostrany"/>
          <w:sz w:val="24"/>
          <w:szCs w:val="24"/>
        </w:rPr>
        <w:tab/>
        <w:t>regionálny príspevok</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SARIO</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Slovensk</w:t>
      </w:r>
      <w:r>
        <w:rPr>
          <w:rStyle w:val="slostrany"/>
          <w:sz w:val="24"/>
          <w:szCs w:val="24"/>
        </w:rPr>
        <w:t>á agentúra pre rozvoj investícií a obchodu</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SIH</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Slovensk</w:t>
      </w:r>
      <w:r>
        <w:rPr>
          <w:rStyle w:val="slostrany"/>
          <w:sz w:val="24"/>
          <w:szCs w:val="24"/>
        </w:rPr>
        <w:t>ý investičný holding</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SOŠ</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Stredn</w:t>
      </w:r>
      <w:r>
        <w:rPr>
          <w:rStyle w:val="slostrany"/>
          <w:sz w:val="24"/>
          <w:szCs w:val="24"/>
        </w:rPr>
        <w:t>á odborná škola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SR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Slovensk</w:t>
      </w:r>
      <w:r>
        <w:rPr>
          <w:rStyle w:val="slostrany"/>
          <w:sz w:val="24"/>
          <w:szCs w:val="24"/>
        </w:rPr>
        <w:t>á republika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SŠ</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stredn</w:t>
      </w:r>
      <w:r>
        <w:rPr>
          <w:rStyle w:val="slostrany"/>
          <w:sz w:val="24"/>
          <w:szCs w:val="24"/>
        </w:rPr>
        <w:t>á škola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SZČ</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samostatn</w:t>
      </w:r>
      <w:r>
        <w:rPr>
          <w:rStyle w:val="slostrany"/>
          <w:sz w:val="24"/>
          <w:szCs w:val="24"/>
        </w:rPr>
        <w:t xml:space="preserve">á zárobková činnosť </w:t>
      </w:r>
    </w:p>
    <w:p w:rsidR="00C90BE5" w:rsidRDefault="00C90BE5" w:rsidP="00C90BE5">
      <w:pPr>
        <w:tabs>
          <w:tab w:val="left" w:pos="993"/>
        </w:tabs>
        <w:spacing w:after="0" w:line="240" w:lineRule="auto"/>
        <w:rPr>
          <w:rStyle w:val="slostrany"/>
          <w:sz w:val="24"/>
          <w:szCs w:val="24"/>
        </w:rPr>
      </w:pPr>
      <w:r>
        <w:rPr>
          <w:rStyle w:val="slostrany"/>
          <w:b/>
          <w:bCs/>
          <w:sz w:val="24"/>
          <w:szCs w:val="24"/>
        </w:rPr>
        <w:t>ŠFRB</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Š</w:t>
      </w:r>
      <w:r>
        <w:rPr>
          <w:rStyle w:val="slostrany"/>
          <w:sz w:val="24"/>
          <w:szCs w:val="24"/>
        </w:rPr>
        <w:t>tátny fond rozvoja bývania</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ŠR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š</w:t>
      </w:r>
      <w:r>
        <w:rPr>
          <w:rStyle w:val="slostrany"/>
          <w:sz w:val="24"/>
          <w:szCs w:val="24"/>
        </w:rPr>
        <w:t>tátny rozpočet</w:t>
      </w:r>
    </w:p>
    <w:p w:rsidR="00C90BE5" w:rsidRDefault="00C90BE5" w:rsidP="00C90BE5">
      <w:pPr>
        <w:tabs>
          <w:tab w:val="left" w:pos="993"/>
        </w:tabs>
        <w:spacing w:after="0" w:line="240" w:lineRule="auto"/>
        <w:ind w:left="2124" w:hanging="2124"/>
        <w:rPr>
          <w:rStyle w:val="slostrany"/>
          <w:rFonts w:eastAsia="Times New Roman"/>
          <w:b/>
          <w:sz w:val="24"/>
          <w:szCs w:val="24"/>
        </w:rPr>
      </w:pPr>
      <w:r>
        <w:rPr>
          <w:rStyle w:val="slostrany"/>
          <w:b/>
          <w:sz w:val="24"/>
          <w:szCs w:val="24"/>
        </w:rPr>
        <w:t>UNESCO</w:t>
      </w:r>
      <w:r>
        <w:rPr>
          <w:rStyle w:val="slostrany"/>
          <w:b/>
          <w:sz w:val="24"/>
          <w:szCs w:val="24"/>
        </w:rPr>
        <w:tab/>
      </w:r>
      <w:r>
        <w:rPr>
          <w:rStyle w:val="slostrany"/>
          <w:sz w:val="24"/>
          <w:szCs w:val="24"/>
        </w:rPr>
        <w:t xml:space="preserve">Organizácia spojených národov pre </w:t>
      </w:r>
      <w:r>
        <w:rPr>
          <w:rFonts w:cs="Times New Roman"/>
          <w:sz w:val="24"/>
          <w:szCs w:val="24"/>
        </w:rPr>
        <w:t>vzdelávanie, vedu a kultúru (United Nations Educational, Scientific and Cultural Organization)</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UoZ</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uch</w:t>
      </w:r>
      <w:r>
        <w:rPr>
          <w:rStyle w:val="slostrany"/>
          <w:sz w:val="24"/>
          <w:szCs w:val="24"/>
        </w:rPr>
        <w:t xml:space="preserve">ádzač o zamestnanie </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 xml:space="preserve">ÚPSVaR </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Ú</w:t>
      </w:r>
      <w:r>
        <w:rPr>
          <w:rStyle w:val="slostrany"/>
          <w:sz w:val="24"/>
          <w:szCs w:val="24"/>
        </w:rPr>
        <w:t>stredie práce, sociálnych vecí a rodiny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ÚPSVR</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Ú</w:t>
      </w:r>
      <w:r>
        <w:rPr>
          <w:rStyle w:val="slostrany"/>
          <w:sz w:val="24"/>
          <w:szCs w:val="24"/>
        </w:rPr>
        <w:t>rad práce, sociálnych vecí a rodiny</w:t>
      </w:r>
    </w:p>
    <w:p w:rsidR="00C90BE5" w:rsidRDefault="00C90BE5" w:rsidP="00C90BE5">
      <w:pPr>
        <w:tabs>
          <w:tab w:val="left" w:pos="993"/>
        </w:tabs>
        <w:spacing w:after="0" w:line="240" w:lineRule="auto"/>
        <w:rPr>
          <w:rStyle w:val="slostrany"/>
          <w:rFonts w:eastAsia="Times New Roman"/>
          <w:sz w:val="24"/>
          <w:szCs w:val="24"/>
        </w:rPr>
      </w:pPr>
      <w:r>
        <w:rPr>
          <w:rStyle w:val="slostrany"/>
          <w:b/>
          <w:bCs/>
          <w:sz w:val="24"/>
          <w:szCs w:val="24"/>
        </w:rPr>
        <w:t>VÚC</w:t>
      </w:r>
      <w:r>
        <w:rPr>
          <w:rStyle w:val="slostrany"/>
          <w:rFonts w:eastAsia="Times New Roman"/>
          <w:sz w:val="24"/>
          <w:szCs w:val="24"/>
        </w:rPr>
        <w:tab/>
      </w:r>
      <w:r>
        <w:rPr>
          <w:rStyle w:val="slostrany"/>
          <w:rFonts w:eastAsia="Times New Roman"/>
          <w:sz w:val="24"/>
          <w:szCs w:val="24"/>
        </w:rPr>
        <w:tab/>
      </w:r>
      <w:r>
        <w:rPr>
          <w:rStyle w:val="slostrany"/>
          <w:rFonts w:eastAsia="Times New Roman"/>
          <w:sz w:val="24"/>
          <w:szCs w:val="24"/>
        </w:rPr>
        <w:tab/>
        <w:t>vy</w:t>
      </w:r>
      <w:r>
        <w:rPr>
          <w:rStyle w:val="slostrany"/>
          <w:sz w:val="24"/>
          <w:szCs w:val="24"/>
        </w:rPr>
        <w:t xml:space="preserve">šší územný celok </w:t>
      </w:r>
    </w:p>
    <w:p w:rsidR="00C90BE5" w:rsidRDefault="00C90BE5" w:rsidP="00C90BE5">
      <w:pPr>
        <w:tabs>
          <w:tab w:val="left" w:pos="993"/>
        </w:tabs>
        <w:spacing w:after="0" w:line="240" w:lineRule="auto"/>
        <w:rPr>
          <w:rStyle w:val="slostrany"/>
          <w:sz w:val="24"/>
          <w:szCs w:val="24"/>
        </w:rPr>
      </w:pPr>
      <w:r>
        <w:rPr>
          <w:rStyle w:val="slostrany"/>
          <w:b/>
          <w:sz w:val="24"/>
          <w:szCs w:val="24"/>
        </w:rPr>
        <w:t>ZŠ</w:t>
      </w:r>
      <w:r>
        <w:rPr>
          <w:rStyle w:val="slostrany"/>
          <w:sz w:val="24"/>
          <w:szCs w:val="24"/>
        </w:rPr>
        <w:tab/>
      </w:r>
      <w:r>
        <w:rPr>
          <w:rStyle w:val="slostrany"/>
          <w:sz w:val="24"/>
          <w:szCs w:val="24"/>
        </w:rPr>
        <w:tab/>
      </w:r>
      <w:r>
        <w:rPr>
          <w:rStyle w:val="slostrany"/>
          <w:sz w:val="24"/>
          <w:szCs w:val="24"/>
        </w:rPr>
        <w:tab/>
        <w:t>základná škola</w:t>
      </w:r>
    </w:p>
    <w:p w:rsidR="004D2CA9" w:rsidRDefault="004D2CA9" w:rsidP="00C90BE5">
      <w:pPr>
        <w:tabs>
          <w:tab w:val="left" w:pos="993"/>
        </w:tabs>
        <w:spacing w:after="0" w:line="240" w:lineRule="auto"/>
        <w:rPr>
          <w:rStyle w:val="slostrany"/>
          <w:sz w:val="24"/>
          <w:szCs w:val="24"/>
        </w:rPr>
      </w:pPr>
      <w:r>
        <w:rPr>
          <w:rStyle w:val="slostrany"/>
          <w:sz w:val="24"/>
          <w:szCs w:val="24"/>
        </w:rPr>
        <w:br w:type="page"/>
      </w:r>
    </w:p>
    <w:p w:rsidR="00332909" w:rsidRPr="004D2CA9" w:rsidRDefault="00332909" w:rsidP="004D2CA9">
      <w:pPr>
        <w:pStyle w:val="Nadpis1"/>
        <w:numPr>
          <w:ilvl w:val="0"/>
          <w:numId w:val="1"/>
        </w:numPr>
      </w:pPr>
      <w:r w:rsidRPr="004D2CA9">
        <w:lastRenderedPageBreak/>
        <w:t>Analýza hospodárskeho, sociálneho a environmentálneho stavu okresu Bardejov</w:t>
      </w:r>
      <w:bookmarkEnd w:id="0"/>
      <w:bookmarkEnd w:id="1"/>
    </w:p>
    <w:p w:rsidR="00332909" w:rsidRDefault="00332909" w:rsidP="00332909">
      <w:pPr>
        <w:rPr>
          <w:rFonts w:cs="Times New Roman"/>
        </w:rPr>
      </w:pPr>
      <w:r>
        <w:rPr>
          <w:rFonts w:cs="Times New Roman"/>
        </w:rPr>
        <w:t xml:space="preserve">Okres Bardejov bol dňa 20.10.2017 v súlade so zákonom č. </w:t>
      </w:r>
      <w:r w:rsidR="004755AB" w:rsidRPr="00D65703">
        <w:rPr>
          <w:rStyle w:val="slostrany"/>
        </w:rPr>
        <w:t xml:space="preserve">336/2015 Z. z. o podpore najmenej rozvinutých okresov a o zmene a doplnení niektorých zákonov </w:t>
      </w:r>
      <w:r w:rsidR="004755AB">
        <w:rPr>
          <w:rStyle w:val="slostrany"/>
        </w:rPr>
        <w:t>v znení zákona č. 378/2016 Z. z.</w:t>
      </w:r>
      <w:r w:rsidR="004755AB">
        <w:rPr>
          <w:rFonts w:cs="Times New Roman"/>
        </w:rPr>
        <w:t>.</w:t>
      </w:r>
      <w:r>
        <w:rPr>
          <w:rFonts w:cs="Times New Roman"/>
        </w:rPr>
        <w:t xml:space="preserve"> zaradený </w:t>
      </w:r>
      <w:r w:rsidR="004755AB">
        <w:rPr>
          <w:rFonts w:cs="Times New Roman"/>
        </w:rPr>
        <w:t xml:space="preserve">ÚPSVaR </w:t>
      </w:r>
      <w:r>
        <w:rPr>
          <w:rFonts w:cs="Times New Roman"/>
        </w:rPr>
        <w:t xml:space="preserve">do zoznamu najmenej rozvinutých okresov (ďalej len „NRO“). Následne bol </w:t>
      </w:r>
      <w:r w:rsidR="004755AB">
        <w:rPr>
          <w:bdr w:val="none" w:sz="0" w:space="0" w:color="auto" w:frame="1"/>
          <w:lang w:eastAsia="sk-SK"/>
        </w:rPr>
        <w:t>Výborom pre rozvoj okresu Bardejov (ďalej len „výbor“)</w:t>
      </w:r>
      <w:r>
        <w:rPr>
          <w:rFonts w:cs="Times New Roman"/>
        </w:rPr>
        <w:t xml:space="preserve"> v spolupráci so sociálno-ekonomickými partnermi z územia, najmä zástupcami mesta a obcí okresu Bardejov, zástupcami štátnej správy v okrese, Agentúrou regionálneho rozvoja PSK, mimovládnymi organizáciami a podnikateľskými subjektmi vypracovaný päťročný Akčný plán rozvoja okresu </w:t>
      </w:r>
      <w:r w:rsidR="004755AB">
        <w:rPr>
          <w:rFonts w:cs="Times New Roman"/>
        </w:rPr>
        <w:t xml:space="preserve">Bardejov </w:t>
      </w:r>
      <w:r>
        <w:rPr>
          <w:rFonts w:cs="Times New Roman"/>
        </w:rPr>
        <w:t>(ďalej len „Akčný plán“).</w:t>
      </w:r>
    </w:p>
    <w:p w:rsidR="00332909" w:rsidRDefault="00332909" w:rsidP="00332909">
      <w:pPr>
        <w:rPr>
          <w:rFonts w:cs="Times New Roman"/>
        </w:rPr>
      </w:pPr>
      <w:r>
        <w:rPr>
          <w:rFonts w:cs="Times New Roman"/>
          <w:b/>
        </w:rPr>
        <w:t>Dôvodom zaradenia okresu Bardejov medzi najmenej rozvinuté okresy je dlhodobo evidovaná vysoká miera nezamestnanosti. Jej výška sa v roku 2016 pohybovala na</w:t>
      </w:r>
      <w:r>
        <w:rPr>
          <w:rFonts w:cs="Times New Roman"/>
        </w:rPr>
        <w:t> </w:t>
      </w:r>
      <w:r>
        <w:rPr>
          <w:rFonts w:cs="Times New Roman"/>
          <w:b/>
        </w:rPr>
        <w:t>úrovni 16,8 %,</w:t>
      </w:r>
      <w:r>
        <w:rPr>
          <w:rFonts w:cs="Times New Roman"/>
        </w:rPr>
        <w:t xml:space="preserve"> kým v tom istom roku bola priemerná miera nezamestnanosti na Slovensku 8,8 % (ÚPSVaR, 2016).</w:t>
      </w:r>
    </w:p>
    <w:p w:rsidR="00332909" w:rsidRDefault="00332909" w:rsidP="00332909">
      <w:pPr>
        <w:rPr>
          <w:rFonts w:cs="Times New Roman"/>
        </w:rPr>
      </w:pPr>
      <w:r>
        <w:rPr>
          <w:rFonts w:cs="Times New Roman"/>
          <w:b/>
        </w:rPr>
        <w:t>Okres Bardejov svojou rozlohou 937 km</w:t>
      </w:r>
      <w:r>
        <w:rPr>
          <w:rFonts w:cs="Times New Roman"/>
          <w:b/>
          <w:vertAlign w:val="superscript"/>
        </w:rPr>
        <w:t>2</w:t>
      </w:r>
      <w:r>
        <w:rPr>
          <w:rFonts w:cs="Times New Roman"/>
          <w:b/>
        </w:rPr>
        <w:t xml:space="preserve"> patrí k najväčším v Prešovskom kraji</w:t>
      </w:r>
      <w:r>
        <w:rPr>
          <w:rFonts w:cs="Times New Roman"/>
        </w:rPr>
        <w:t>. V okrese žije 77 742 obyvateľov s hustotou zaľudnenia 83 obyvateľov na km</w:t>
      </w:r>
      <w:r>
        <w:rPr>
          <w:rFonts w:cs="Times New Roman"/>
          <w:vertAlign w:val="superscript"/>
        </w:rPr>
        <w:t>2</w:t>
      </w:r>
      <w:r>
        <w:rPr>
          <w:rFonts w:cs="Times New Roman"/>
        </w:rPr>
        <w:t xml:space="preserve"> (údaje ŠÚ SR k 31.12.2016). Okres je tvorený 86 obcami, z ktorých </w:t>
      </w:r>
      <w:r>
        <w:rPr>
          <w:rFonts w:cs="Times New Roman"/>
          <w:b/>
        </w:rPr>
        <w:t>iba jedna má štatút mesta</w:t>
      </w:r>
      <w:r>
        <w:rPr>
          <w:rFonts w:cs="Times New Roman"/>
        </w:rPr>
        <w:t xml:space="preserve"> a to je okresné mesto Bardejov. Územie sa rozprestiera v severovýchodnej časti Východného Slovenska a susedí so 4 okresmi (Stará Ľubovňa, Sabinov, Prešov a Svidník). V severnej časti ho ohraničuje hranica s Poľskom v dĺžke 60 km. Z geografického hľadiska okres tvoria tri geomorfologické jednotky - Čergovské pohorie, Nízke Beskydy a Bartošovská kotlina. Obce nachádzajúce sa vo východnej a severovýchodnej časti okresu majú vrchovinový typ klímy, mierne teplý a vlhký. Veľká členitosť terénu, flyšový geologický podklad a silná podzolizácia pôd nepriaznivo vplývajú na vodohospodárke pomery. Celé územie patrí do povodia Bodrogu a Hornádu s hlavnými vodnými tokmi Topľou a Ondavou.</w:t>
      </w:r>
    </w:p>
    <w:p w:rsidR="00332909" w:rsidRDefault="00332909" w:rsidP="00332909">
      <w:pPr>
        <w:rPr>
          <w:rFonts w:cs="Times New Roman"/>
          <w:sz w:val="20"/>
        </w:rPr>
      </w:pPr>
      <w:r>
        <w:rPr>
          <w:rFonts w:cs="Times New Roman"/>
          <w:sz w:val="20"/>
        </w:rPr>
        <w:t>Obr. č. 1: Mapa okresu Bardejov</w:t>
      </w:r>
    </w:p>
    <w:p w:rsidR="00332909" w:rsidRDefault="00332909" w:rsidP="00332909">
      <w:pPr>
        <w:rPr>
          <w:rFonts w:cs="Times New Roman"/>
        </w:rPr>
      </w:pPr>
      <w:r>
        <w:rPr>
          <w:rFonts w:cs="Times New Roman"/>
          <w:noProof/>
          <w:lang w:eastAsia="sk-SK"/>
        </w:rPr>
        <w:drawing>
          <wp:inline distT="0" distB="0" distL="0" distR="0" wp14:anchorId="59156677" wp14:editId="2508B760">
            <wp:extent cx="5563870" cy="3407410"/>
            <wp:effectExtent l="0" t="0" r="0" b="254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3870" cy="3407410"/>
                    </a:xfrm>
                    <a:prstGeom prst="rect">
                      <a:avLst/>
                    </a:prstGeom>
                    <a:noFill/>
                    <a:ln>
                      <a:noFill/>
                    </a:ln>
                  </pic:spPr>
                </pic:pic>
              </a:graphicData>
            </a:graphic>
          </wp:inline>
        </w:drawing>
      </w:r>
    </w:p>
    <w:p w:rsidR="00332909" w:rsidRDefault="00332909" w:rsidP="00332909">
      <w:pPr>
        <w:spacing w:after="240"/>
        <w:rPr>
          <w:rFonts w:cs="Times New Roman"/>
          <w:sz w:val="20"/>
        </w:rPr>
      </w:pPr>
      <w:r>
        <w:rPr>
          <w:rFonts w:cs="Times New Roman"/>
          <w:sz w:val="20"/>
        </w:rPr>
        <w:t>Zdroj: Okresný úrad, katastrálny odbor</w:t>
      </w:r>
    </w:p>
    <w:p w:rsidR="00332909" w:rsidRDefault="00332909" w:rsidP="00332909">
      <w:pPr>
        <w:pStyle w:val="Nadpis2"/>
        <w:shd w:val="clear" w:color="auto" w:fill="BFBFBF" w:themeFill="background1" w:themeFillShade="BF"/>
      </w:pPr>
      <w:bookmarkStart w:id="3" w:name="_Toc511211854"/>
      <w:bookmarkStart w:id="4" w:name="_Toc517084331"/>
      <w:r>
        <w:lastRenderedPageBreak/>
        <w:t>Doprava a technická infraštruktúra</w:t>
      </w:r>
      <w:bookmarkEnd w:id="3"/>
      <w:bookmarkEnd w:id="4"/>
    </w:p>
    <w:p w:rsidR="00332909" w:rsidRDefault="00332909" w:rsidP="006D2E6D">
      <w:pPr>
        <w:rPr>
          <w:rFonts w:cs="Times New Roman"/>
        </w:rPr>
      </w:pPr>
      <w:r>
        <w:rPr>
          <w:rFonts w:cs="Times New Roman"/>
        </w:rPr>
        <w:t>V okrese Bardejov sa v súčasnosti nachádzajú cesty I. triedy v celkovej dĺžke 43,458 km, na ktoré sú napojené cesty II. triedy v celkovej dĺžke 33,071 km a cesty III. triedy v celkovej dĺžke 269,533 km. Územím okresu a mesta Bardejov prechádza cesta I. triedy I/77, ktorá spája mesto s okresmi Svidník a Stará Ľubovňa. Z mesta Bardejov vedie cesta II. triedy II/5</w:t>
      </w:r>
      <w:r w:rsidR="004736C4">
        <w:rPr>
          <w:rFonts w:cs="Times New Roman"/>
        </w:rPr>
        <w:t>4</w:t>
      </w:r>
      <w:r>
        <w:rPr>
          <w:rFonts w:cs="Times New Roman"/>
        </w:rPr>
        <w:t>5, ktorá spája Bardejov s Prešovom. Na tieto cesty sa pripájajú cesty III. triedy. Cez okres okrem miestnych komunikácií vedú aj lesné a poľné cesty (spevnené a nespevnené), ktoré využívajú hlavne poľnohospodárske a stavebné stroje. Prostredníctvom cesty II/545 je okres pripojený na sieť diaľnic a rýchlostných ciest, konkrétne na diaľnicu D1 pri Prešove vo vzdialenosti cca 42 km. Ďalšie pripojenie na diaľnicu D1, resp. cestný koridor Žilina – Prešov – Košice, je zabezpečené cestou I/77 pri Poprade vo vzdialenosti cca 100 km. Cesta I/77 je v Koncepcii územného rozvoja Slovenska a v ÚPN-VÚC Prešovského kraja definovaná v rámci dopravnej siete SR celoštátnej úrovne, ako cestná komunikácia v prihraničnom ČR/SR/PR západo-východne orientovanom cestnom koridore celoštátneho významu na území krajov Žilina a Prešov v línii (na území Prešovského kraja) Spišská Stará Ves – Stará Ľubovňa – Bardejov – Svidník – Stropkov - Medzilaborce – Palota – PR (Radoszyce). Cesta II/545 je v ÚPN-VÚC Prešovského kraja definovaná v rámci dopravnej siete SR nadregionálnej úrovne v trase: hranica s Poľskou republikou – Becherov – Zborov – Bardejov – Kapušany a prechádza v koridore určenom na rozvoj osídlenia a sídelnej štruktúry v rámci podpory šarišskej rozvojovej osi druhého stupňa Prešov – Bardejov. Obidve cestné komunikácie sú v nevyhovujúcom stavebno-technickom a dopravno-technickom stave z hľadiska predovšetkým šírkových parametrov, stavu povrchu vozoviek a smerového vedenia.</w:t>
      </w:r>
    </w:p>
    <w:p w:rsidR="00332909" w:rsidRDefault="00332909" w:rsidP="006D2E6D">
      <w:pPr>
        <w:rPr>
          <w:rFonts w:cs="Times New Roman"/>
        </w:rPr>
      </w:pPr>
      <w:r>
        <w:rPr>
          <w:rFonts w:cs="Times New Roman"/>
        </w:rPr>
        <w:t>Katastrálnym územím okresu Bardejov prechádza regionálna jednokoľajná železničná trať č.194 s nezávislou motorovou trakciou Prešov – Bardejov v dĺžke 44,833m. Železničná stanica Bardejov je stanicou východnou. Regionálna železničná trať č. 104 D je vzhľadom na jej trasovanie, parametre a početnosť zastávok pomalá. Jazdná doba z Bardejova do Prešova, čo je 45 km, trvá 1 hodinu a 7 minút.</w:t>
      </w:r>
    </w:p>
    <w:p w:rsidR="00332909" w:rsidRDefault="00332909" w:rsidP="006D2E6D">
      <w:pPr>
        <w:rPr>
          <w:rFonts w:cs="Times New Roman"/>
        </w:rPr>
      </w:pPr>
      <w:r>
        <w:rPr>
          <w:rFonts w:cs="Times New Roman"/>
        </w:rPr>
        <w:t>Z pohľadu civilného letectva sa najbližšie k Bardejovu nachádzajú medzinárodné verejné letiská Poprad – Tatry a Košice. V blízkosti mesta Bardejov je zároveň pre potreby všeobecného letectva k dispozícii aj vnútroštátne verejné letisko Svidník.</w:t>
      </w:r>
    </w:p>
    <w:p w:rsidR="00332909" w:rsidRDefault="00332909" w:rsidP="006D2E6D">
      <w:pPr>
        <w:rPr>
          <w:rFonts w:eastAsia="Times New Roman" w:cs="Times New Roman"/>
          <w:bCs/>
        </w:rPr>
      </w:pPr>
      <w:r>
        <w:rPr>
          <w:rFonts w:cs="Times New Roman"/>
        </w:rPr>
        <w:t xml:space="preserve">Zásobovanie obyvateľov okresu elektrickou energiou zabezpečuje miestna elektrostanica s transformátorovňou 110/22 kV s výkonom 2 x 40 MVA, ktorá je umiestnená na západnom okraji mesta Bardejov. Je </w:t>
      </w:r>
      <w:r w:rsidR="00CD1152">
        <w:rPr>
          <w:rFonts w:cs="Times New Roman"/>
        </w:rPr>
        <w:t xml:space="preserve">pripájaná </w:t>
      </w:r>
      <w:r>
        <w:rPr>
          <w:rFonts w:cs="Times New Roman"/>
        </w:rPr>
        <w:t>2 x 110 kV vedením . 6755/6766 Prešov – Bardejov a prepojená 1 x 110 kV vedením . 6751 na ES Svidník. Spotreba elektriny v okrese Bardejov ku koncu roka 2016 dosiahla hodnotu 18 529 MWh. V okrese sa vyrába aj energia z obnoviteľných zdrojov. Konkrétne v Bardejove sa vyrába využitím drevoštiepky a v obci Kobyly prostredníctvom slnečných kolektorov. Na základe  údajov Slovenskej inovačnej a energetickej agentúry o výkone a počte fotovoltických zariadení v okrese Bardejov je zrejmé, že od začiatku projektu k 7.5.2018, kedy sú známe posledné generované údaje, bolo v okrese Bardejov c</w:t>
      </w:r>
      <w:r>
        <w:rPr>
          <w:rFonts w:eastAsia="Times New Roman" w:cs="Times New Roman"/>
          <w:bCs/>
        </w:rPr>
        <w:t xml:space="preserve">elkovo inštalovaných 21 </w:t>
      </w:r>
      <w:r>
        <w:rPr>
          <w:rFonts w:cs="Times New Roman"/>
        </w:rPr>
        <w:t xml:space="preserve">fotovoltických zariadení </w:t>
      </w:r>
      <w:r>
        <w:rPr>
          <w:rFonts w:eastAsia="Times New Roman" w:cs="Times New Roman"/>
          <w:bCs/>
        </w:rPr>
        <w:t>s výkonom 50,86 kW podľa informácii na poukážkach. </w:t>
      </w:r>
    </w:p>
    <w:p w:rsidR="00332909" w:rsidRDefault="00332909" w:rsidP="00332909">
      <w:pPr>
        <w:pStyle w:val="Nadpis2"/>
        <w:shd w:val="clear" w:color="auto" w:fill="BFBFBF" w:themeFill="background1" w:themeFillShade="BF"/>
      </w:pPr>
      <w:bookmarkStart w:id="5" w:name="_Toc511211855"/>
      <w:bookmarkStart w:id="6" w:name="_Toc517084332"/>
      <w:r>
        <w:t>Životné prostredie</w:t>
      </w:r>
      <w:bookmarkEnd w:id="5"/>
      <w:bookmarkEnd w:id="6"/>
    </w:p>
    <w:p w:rsidR="00332909" w:rsidRDefault="00332909" w:rsidP="00332909">
      <w:pPr>
        <w:rPr>
          <w:rFonts w:cs="Times New Roman"/>
        </w:rPr>
      </w:pPr>
      <w:r>
        <w:rPr>
          <w:rFonts w:cs="Times New Roman"/>
        </w:rPr>
        <w:t xml:space="preserve">V okrese Bardejov sa nachádzajú nasledovné chránené územia: </w:t>
      </w:r>
    </w:p>
    <w:p w:rsidR="00332909" w:rsidRDefault="00332909" w:rsidP="00C90BE5">
      <w:pPr>
        <w:pStyle w:val="Odsekzoznamu"/>
        <w:numPr>
          <w:ilvl w:val="0"/>
          <w:numId w:val="33"/>
        </w:numPr>
      </w:pPr>
      <w:r>
        <w:t>NPR Becherovská tisina (5. stupeň ochrany)  Lokalita sa nachádza neďaleko obce Becherov, blízko štátnej hranice s Poľskom, na severovýchodnom svahu vrchu Javorina.</w:t>
      </w:r>
    </w:p>
    <w:p w:rsidR="00332909" w:rsidRDefault="00332909" w:rsidP="00C90BE5">
      <w:pPr>
        <w:pStyle w:val="Odsekzoznamu"/>
        <w:numPr>
          <w:ilvl w:val="0"/>
          <w:numId w:val="33"/>
        </w:numPr>
      </w:pPr>
      <w:r>
        <w:lastRenderedPageBreak/>
        <w:t>NPR Regetovské rašelinisko (4. stupeň ochrany) Rozprestiera sa neďaleko obce Regetovka, na úpätí vrchu Paledovka v pohorí Busov.</w:t>
      </w:r>
    </w:p>
    <w:p w:rsidR="00332909" w:rsidRDefault="00332909" w:rsidP="00C90BE5">
      <w:pPr>
        <w:pStyle w:val="Odsekzoznamu"/>
        <w:numPr>
          <w:ilvl w:val="0"/>
          <w:numId w:val="33"/>
        </w:numPr>
      </w:pPr>
      <w:r>
        <w:t>NPR Stebnícka Magura (5. stupeň ochrany, SKUEV0754) Rozprestiera sa vo vrcholových hrebeňových partiách vrchu Stebnícka Magura (900 m n.m.), ktorá sa nachádza v pohorí Busov, najmenšom pohorí na území Slovenska.</w:t>
      </w:r>
    </w:p>
    <w:p w:rsidR="00332909" w:rsidRDefault="00332909" w:rsidP="00C90BE5">
      <w:pPr>
        <w:pStyle w:val="Odsekzoznamu"/>
        <w:numPr>
          <w:ilvl w:val="0"/>
          <w:numId w:val="33"/>
        </w:numPr>
      </w:pPr>
      <w:r>
        <w:t>PR Pod Beskydom (4. stupeň ochrany) Nachádza v katastrálnom území obce Nižná Polianka na ploche cca 8,45 ha.</w:t>
      </w:r>
    </w:p>
    <w:p w:rsidR="00332909" w:rsidRDefault="00332909" w:rsidP="00C90BE5">
      <w:pPr>
        <w:pStyle w:val="Odsekzoznamu"/>
        <w:numPr>
          <w:ilvl w:val="0"/>
          <w:numId w:val="33"/>
        </w:numPr>
      </w:pPr>
      <w:r>
        <w:t>PR Slatina pod Lieskovcom (5. stupeň ochrany) Nachádza sa v katastrálnom území Bardejova – Bardejovská Nová Ves.</w:t>
      </w:r>
    </w:p>
    <w:p w:rsidR="00332909" w:rsidRDefault="00332909" w:rsidP="00C90BE5">
      <w:pPr>
        <w:pStyle w:val="Odsekzoznamu"/>
        <w:numPr>
          <w:ilvl w:val="0"/>
          <w:numId w:val="33"/>
        </w:numPr>
      </w:pPr>
      <w:r>
        <w:t>PR Zborovský hradný vrch (5. stupeň ochrany) Patrí medzi najstaršie prírodné rezervácie na Slovensku. Je vyhlásená na ochranu zachovalej typickej vegetácie jedľových bučín, výraznej krajinnej dominanty vo flyšovej oblasti Nízkych Beskýd na vedeckovýskumné, náučné a kultúno-výchovné ciele. V lesnom poraste sú pozoruhodné niekoľko storočné staré duby, ktoré boli vysadené pozdĺž príjazdovej cesty k hradu a sú svedkami dávnej histórie.</w:t>
      </w:r>
    </w:p>
    <w:p w:rsidR="00332909" w:rsidRDefault="00332909" w:rsidP="00332909">
      <w:pPr>
        <w:rPr>
          <w:rFonts w:cs="Times New Roman"/>
          <w:b/>
        </w:rPr>
      </w:pPr>
      <w:r>
        <w:rPr>
          <w:rFonts w:cs="Times New Roman"/>
        </w:rPr>
        <w:t xml:space="preserve">Napojenosť na verejné zásobovanie pitnou vodou v okrese Bardejov je 81,5% obyvateľstva. Na verejný vodovod je napojené mesto Bardejov a 60 obcí okresu. V okrese Bardejov nemá vodovod 24 obcí. V súčasnosti sa využívajú pre skupinové vodovody VVS, a.s. povrchové a podzemné miestne vodné zdroje (vrty alebo studne). Na celom území okresu Bardejov sa jedná spolu o 53 vodných zdrojov s výdatnosťou od 0,2 (malé zdroje) až do 25 l/s. Napojenosť na vodovod v obciach, kde je vybudovaný je nad 90%. Najnižšiu napojenosť v okrese eviduje skupinový vodovod Hertník – Fričkovce, nakoľko v obci Buclovany je nulová napojenosť 203 obyvateľov na verejný vodovod a  v obci Abrahámovce je napojenosť na úrovni 9,94 %. Zároveň obec Gerlachov vykazuje 38,36 % napojenosť obyvateľov na skupinový vodovod Kružľov – Gerlachov. </w:t>
      </w:r>
      <w:r>
        <w:rPr>
          <w:rFonts w:cs="Times New Roman"/>
          <w:b/>
        </w:rPr>
        <w:t>Za účelom skvalitnenia komfortu bývania obyvateľov v malých obciach je potreba zvýšenia napojenosti obcí na verejné zásobovanie pitnou vodou.</w:t>
      </w:r>
    </w:p>
    <w:p w:rsidR="00332909" w:rsidRDefault="00332909" w:rsidP="006D2E6D">
      <w:pPr>
        <w:rPr>
          <w:rFonts w:cs="Times New Roman"/>
        </w:rPr>
      </w:pPr>
      <w:r>
        <w:rPr>
          <w:rFonts w:cs="Times New Roman"/>
        </w:rPr>
        <w:t>V okrese Bardejov má kanalizáciu iba 10 obcí a mesto Bardejov, viac ako 10 rokov rozostavaná kanalizácia je v siedmich obciach okresu. Napojenosť na kanalizáciu v obciach, kde je vybudovaná je nad 99%. V okrese Bardejov sa nachádzajú 4 čističky odpadových vôd (ČOV) s celkovou kapacitou 8531 m</w:t>
      </w:r>
      <w:r>
        <w:rPr>
          <w:rFonts w:cs="Times New Roman"/>
          <w:vertAlign w:val="superscript"/>
        </w:rPr>
        <w:t>3</w:t>
      </w:r>
      <w:r>
        <w:rPr>
          <w:rFonts w:cs="Times New Roman"/>
        </w:rPr>
        <w:t>/deň, z toho 1 je umiestnená v meste Bardejov (kapacita 8414 m</w:t>
      </w:r>
      <w:r>
        <w:rPr>
          <w:rFonts w:cs="Times New Roman"/>
          <w:vertAlign w:val="superscript"/>
        </w:rPr>
        <w:t>3</w:t>
      </w:r>
      <w:r>
        <w:rPr>
          <w:rFonts w:cs="Times New Roman"/>
        </w:rPr>
        <w:t>/deň), 1 v obci Komárov (kapacita 49 m</w:t>
      </w:r>
      <w:r>
        <w:rPr>
          <w:rFonts w:cs="Times New Roman"/>
          <w:vertAlign w:val="superscript"/>
        </w:rPr>
        <w:t>3</w:t>
      </w:r>
      <w:r>
        <w:rPr>
          <w:rFonts w:cs="Times New Roman"/>
        </w:rPr>
        <w:t>/deň) a 2 v obci Kurima (kapacita 68,2 m</w:t>
      </w:r>
      <w:r>
        <w:rPr>
          <w:rFonts w:cs="Times New Roman"/>
          <w:vertAlign w:val="superscript"/>
        </w:rPr>
        <w:t>3</w:t>
      </w:r>
      <w:r>
        <w:rPr>
          <w:rFonts w:cs="Times New Roman"/>
        </w:rPr>
        <w:t xml:space="preserve">/deň). Mesto Bardejov má novú zrekonštruovanú čistiareň odpadových vôd. Technológia čistenia odpadových vôd je vykonávaná v trojstupňovom režime. Aktuálne je ČOV vysoko naddimenzovaná pre potreby a rozvoj mesta. Pre potreby mesta ako aj rozvoj priemyslu bude postačovať ČOV minimálne na ďalších 5 rokov. Rekonštrukciu ČOV vykonala VVS, a.s. súčasne s rekonštrukciou kanalizačných rozvodov, čím sa umožnilo </w:t>
      </w:r>
      <w:r w:rsidR="00CD1152">
        <w:rPr>
          <w:rFonts w:cs="Times New Roman"/>
        </w:rPr>
        <w:t xml:space="preserve">pripájanie </w:t>
      </w:r>
      <w:r>
        <w:rPr>
          <w:rFonts w:cs="Times New Roman"/>
        </w:rPr>
        <w:t>na ČOV Bardejov aj pre okolité obce.</w:t>
      </w:r>
      <w:r>
        <w:rPr>
          <w:rFonts w:cs="Times New Roman"/>
          <w:b/>
        </w:rPr>
        <w:t xml:space="preserve"> Napojenosť občanov okresu na ČOV je nízka, z tohto dôvodu je potrebné uvažovať s rozšírením siete kanalizácie s napojením na existujúce ČOV, prípadne budovaním ďalších uzlov čistenia odpadových vôd.</w:t>
      </w:r>
    </w:p>
    <w:p w:rsidR="00332909" w:rsidRPr="006D2E6D" w:rsidRDefault="00332909" w:rsidP="00332909">
      <w:r>
        <w:rPr>
          <w:rFonts w:cs="Times New Roman"/>
        </w:rPr>
        <w:t xml:space="preserve">Jednotlivé riečky a miestne potoky sú z územia okresu odvádzané troma väčšími vodnými tokmi  a to Topľa, Ondava a Sekčov, ktoré </w:t>
      </w:r>
      <w:r>
        <w:t>spadajú do čiastkového povodia Bodrogu, z čoho v  územnom obvode Bardejov je na hlavných vodný</w:t>
      </w:r>
      <w:r w:rsidR="006D2E6D">
        <w:t>ch tokoch ich dĺžka cca. 52 km.</w:t>
      </w:r>
    </w:p>
    <w:p w:rsidR="00332909" w:rsidRDefault="00332909" w:rsidP="00332909">
      <w:pPr>
        <w:rPr>
          <w:rFonts w:cs="Times New Roman"/>
        </w:rPr>
      </w:pPr>
      <w:r>
        <w:rPr>
          <w:rFonts w:cs="Times New Roman"/>
        </w:rPr>
        <w:t>Klasické vodohospodárske dielo na hodnotenom území nie je vybudované. V obci Marhaň sa nachádza rybník lokálneho významu,  v obciach Kľušov a  Dubinné boli vybudované 2 malé vodné nádrže a v obci Frička a Vyšný Tvarožec 2 poldre.</w:t>
      </w:r>
    </w:p>
    <w:p w:rsidR="00332909" w:rsidRDefault="00332909" w:rsidP="00332909">
      <w:pPr>
        <w:rPr>
          <w:rFonts w:cs="Times New Roman"/>
        </w:rPr>
      </w:pPr>
      <w:r>
        <w:rPr>
          <w:rFonts w:cs="Times New Roman"/>
          <w:b/>
        </w:rPr>
        <w:t>Pri trvalých a silných zrážkach, ako aj pri rýchlom topení napadnutého snehu, sa rieka Topľa vylieva zo svojho koryta a tým ohrozuje teritórium v katastroch obcí</w:t>
      </w:r>
      <w:r>
        <w:rPr>
          <w:rFonts w:cs="Times New Roman"/>
        </w:rPr>
        <w:t xml:space="preserve"> Bardejovská Nová Ves, Livov, Livovská Huta. Lukov, Komárov, Poliakovce, Kurima, Nemcovce, Porúbka, Marhaň a Brezov. </w:t>
      </w:r>
      <w:r>
        <w:rPr>
          <w:rFonts w:cs="Times New Roman"/>
        </w:rPr>
        <w:lastRenderedPageBreak/>
        <w:t xml:space="preserve">Záplavami sú ohrozené územia aj na prítokoch zo severu Sveržovky, Kurovca, Kamenca, Slatvinca a juhu Lukavice. Od r. 2006 boli zaznamenané povodne vybrežením miestnych vodných tokov v obciach Hornej Tople a Strednej Tople. Druhou potenciálnou oblasťou možných povodní je Podčergovská časť okresu, v ktorej pramení a preteká Sekčov s prítokmi. Treťou a najmenšou oblasťou možných záplav a povodní povrchových vôd je povodie rieky Ondava so svojimi miestnymi prítokmi. Prívalové dažde a miestne prietrže mračien v spojení s geologickými pomermi spôsobujú svahové deformácie, ktoré poškodzujú rodinné domy, poľnohospodársky a lesný pôdny fond, štátne cesty a miestne komunikácie v mnohých lokalitách okresu Bardejov (Zlate, Hažlín, Vyšná Voľa, Lukov, a iné).  </w:t>
      </w:r>
    </w:p>
    <w:p w:rsidR="00332909" w:rsidRDefault="00332909" w:rsidP="006D2E6D">
      <w:pPr>
        <w:rPr>
          <w:rFonts w:cs="Times New Roman"/>
        </w:rPr>
      </w:pPr>
      <w:r>
        <w:rPr>
          <w:rFonts w:cs="Times New Roman"/>
        </w:rPr>
        <w:t>Významným výstupom projektu Ondava pre život bolo aj založenie neziskovej organizácie Ondava pre život, n.o. so sídlom v obci Nižná Polianka, ktorá začala svoju činnosť 22.04.2015. Základnou činnosťou organizácie je zabezpečenie trvalej udržateľnosti realizovaných 505 adaptačných vodozádržných opatrení na klimatickú zmenu v katastroch 16 obcí okresov Bardejov a Svidník. v rámci organizačnej štruktúry neziskovej organizácie Ondava pre život n.o. bol vytvorený sociálny podnik environmentálnych technológií /SPET/ s cieľom vytvoriť cca 10 pracovných miest práve pre uchádzačov o zamestnanie. Hlavným cieľom a náplňou budú environmentálne aktivity, realizácia ďalších vodozádržných adaptačných opatrení na zanalyzovanom území, výroba prvkov environmentálnych technológií, likvidáciu inváznych rastlín v úzkej prepojenosti s hlavnou náplňou verejno – prospešných prác neziskovej organizácie.</w:t>
      </w:r>
    </w:p>
    <w:p w:rsidR="00332909" w:rsidRDefault="00332909" w:rsidP="00332909">
      <w:pPr>
        <w:rPr>
          <w:rFonts w:cs="Times New Roman"/>
        </w:rPr>
      </w:pPr>
      <w:r>
        <w:rPr>
          <w:rFonts w:cs="Times New Roman"/>
        </w:rPr>
        <w:t xml:space="preserve">V roku 2017 prebiehalo monitorovanie kvality povrchovej vody v okrese Bardejov v piatich profiloch. Tri profily boli umiestnené na hlavnom toku – Topli: nad Bardejovom, v Komárove a v Marhani. Tri profily boli umiestnené na vodárenských tokoch – monitorovaná surová voda používaná na úpravu na pitnú vodu: Topľa nad Bardejovom, Pastovník nad Hertníkom a Hrabovec nad odberným objektom. </w:t>
      </w:r>
    </w:p>
    <w:p w:rsidR="00332909" w:rsidRDefault="00332909" w:rsidP="00332909">
      <w:pPr>
        <w:pStyle w:val="Hlavika"/>
        <w:rPr>
          <w:b/>
        </w:rPr>
      </w:pPr>
      <w:r>
        <w:rPr>
          <w:b/>
        </w:rPr>
        <w:t>Stupne kvality povrchových vôd:</w:t>
      </w:r>
    </w:p>
    <w:p w:rsidR="00332909" w:rsidRDefault="00332909" w:rsidP="00C90BE5">
      <w:pPr>
        <w:pStyle w:val="Hlavika"/>
        <w:numPr>
          <w:ilvl w:val="0"/>
          <w:numId w:val="32"/>
        </w:numPr>
        <w:tabs>
          <w:tab w:val="left" w:pos="708"/>
        </w:tabs>
        <w:jc w:val="left"/>
      </w:pPr>
      <w:r>
        <w:t xml:space="preserve">Topľa Komárov -  navýšené množstvo dusitanového dusíka, ostatné merané parametre sú v norme, </w:t>
      </w:r>
    </w:p>
    <w:p w:rsidR="00332909" w:rsidRDefault="00332909" w:rsidP="00C90BE5">
      <w:pPr>
        <w:pStyle w:val="Hlavika"/>
        <w:numPr>
          <w:ilvl w:val="0"/>
          <w:numId w:val="32"/>
        </w:numPr>
        <w:tabs>
          <w:tab w:val="left" w:pos="708"/>
        </w:tabs>
        <w:jc w:val="left"/>
      </w:pPr>
      <w:r>
        <w:t xml:space="preserve">Topľa Marhaň - navýšené množstvo dusitanového dusíka, ostatné merané parametre sú v norme, </w:t>
      </w:r>
    </w:p>
    <w:p w:rsidR="00332909" w:rsidRDefault="00332909" w:rsidP="00C90BE5">
      <w:pPr>
        <w:pStyle w:val="Hlavika"/>
        <w:numPr>
          <w:ilvl w:val="0"/>
          <w:numId w:val="32"/>
        </w:numPr>
        <w:tabs>
          <w:tab w:val="left" w:pos="708"/>
        </w:tabs>
        <w:jc w:val="left"/>
      </w:pPr>
      <w:r>
        <w:t xml:space="preserve">Topľa nad Bardejovom - navýšené množstvo absorbovateľné organicky viazané halogény,  ostatné merané parametre sú v norme, </w:t>
      </w:r>
    </w:p>
    <w:p w:rsidR="00332909" w:rsidRDefault="00332909" w:rsidP="00C90BE5">
      <w:pPr>
        <w:pStyle w:val="Hlavika"/>
        <w:numPr>
          <w:ilvl w:val="0"/>
          <w:numId w:val="32"/>
        </w:numPr>
        <w:tabs>
          <w:tab w:val="left" w:pos="708"/>
        </w:tabs>
        <w:jc w:val="left"/>
      </w:pPr>
      <w:r>
        <w:t xml:space="preserve">Pastevník nad odberným objektom VVS, a.s. – navýšené množstvo hliníka, ostatné merané parametre sú v norme, </w:t>
      </w:r>
    </w:p>
    <w:p w:rsidR="00332909" w:rsidRDefault="00332909" w:rsidP="00C90BE5">
      <w:pPr>
        <w:pStyle w:val="Hlavika"/>
        <w:numPr>
          <w:ilvl w:val="0"/>
          <w:numId w:val="32"/>
        </w:numPr>
        <w:tabs>
          <w:tab w:val="left" w:pos="708"/>
        </w:tabs>
        <w:jc w:val="left"/>
      </w:pPr>
      <w:r>
        <w:t xml:space="preserve">Hrabovec nad odberným objektom VVS, a.s. – všetky merané parametre v norme. </w:t>
      </w:r>
    </w:p>
    <w:p w:rsidR="00332909" w:rsidRDefault="00332909" w:rsidP="00332909">
      <w:pPr>
        <w:pStyle w:val="Hlavika"/>
        <w:tabs>
          <w:tab w:val="left" w:pos="708"/>
        </w:tabs>
        <w:ind w:left="720"/>
        <w:jc w:val="left"/>
      </w:pPr>
    </w:p>
    <w:p w:rsidR="00332909" w:rsidRDefault="00332909" w:rsidP="00332909">
      <w:pPr>
        <w:pStyle w:val="Hlavika"/>
        <w:tabs>
          <w:tab w:val="left" w:pos="708"/>
        </w:tabs>
        <w:ind w:left="720"/>
        <w:jc w:val="left"/>
      </w:pPr>
    </w:p>
    <w:p w:rsidR="00332909" w:rsidRDefault="00332909" w:rsidP="006D2E6D">
      <w:pPr>
        <w:rPr>
          <w:rFonts w:cs="Times New Roman"/>
        </w:rPr>
      </w:pPr>
      <w:r>
        <w:rPr>
          <w:rFonts w:cs="Times New Roman"/>
        </w:rPr>
        <w:t>V profiloch Topľa Komárov a Topľa Marhaň sa zaznamenali prekročené limity zo sledovaných ukazovateľov v ukazovateli dusitanový dusík (N-NO2). Navýšené množstvo absorbovateľných organicky viazaných halogénov bolo v Topli nad Bardejovom. Zvýšené hodnoty termotolerantných koliformných baktérií na vodárenských tokoch svedčia o prítomnosti antropogénneho znečistenia.</w:t>
      </w:r>
    </w:p>
    <w:p w:rsidR="00332909" w:rsidRDefault="00332909" w:rsidP="006D2E6D">
      <w:pPr>
        <w:shd w:val="clear" w:color="auto" w:fill="FFFFFF"/>
      </w:pPr>
      <w:r>
        <w:t xml:space="preserve">Kvalita spodných vôd je v norme, úpravu vody sa realizuje chlórovaním. Pravidelná kontrola kvality doteraz bola stále v norme. </w:t>
      </w:r>
    </w:p>
    <w:p w:rsidR="00332909" w:rsidRDefault="00332909" w:rsidP="006D2E6D">
      <w:pPr>
        <w:shd w:val="clear" w:color="auto" w:fill="FFFFFF"/>
      </w:pPr>
      <w:r>
        <w:t>Podľa RÚVZ v oblastiach, kde nie je vybudovaný verejný vodovod sa zistil výskyt mangánu a železa nad povoleným limitom. Ide hlavne o obce Marhaň, Lascov, Koprivnica, Lopúchov.</w:t>
      </w:r>
    </w:p>
    <w:p w:rsidR="00332909" w:rsidRDefault="00332909" w:rsidP="006D2E6D">
      <w:pPr>
        <w:pStyle w:val="Hlavika"/>
        <w:spacing w:line="276" w:lineRule="auto"/>
      </w:pPr>
      <w:r>
        <w:rPr>
          <w:rFonts w:cs="Times New Roman"/>
        </w:rPr>
        <w:t xml:space="preserve">V okrese Bardejov stále dominuje zneškodňovanie komunálneho odpadu skládkovaním (58,64 %), teda zneškodnenie odpadu pred zhodnocovaním odpadu (38,98 %).  Bardejovský okres produkuje 7% z celkového odpadu v Prešovskom kraji. V okrese Bardejov sa v roku 2014 vyprodukovalo 16 954,12 t odpadu, čo predstavovalo 217,8 kg komunálneho odpadu na obyvateľa. Z hľadiska druhov odpadov </w:t>
      </w:r>
      <w:r>
        <w:rPr>
          <w:rFonts w:cs="Times New Roman"/>
        </w:rPr>
        <w:lastRenderedPageBreak/>
        <w:t xml:space="preserve">najväčšie zastúpenie majú kovy (38,4%), nasleduje papier a lepenka (27,6 %) a sklo (20,5%). </w:t>
      </w:r>
      <w:r>
        <w:t>Uvádzané  hodnoty týkajúce sa skladby odpadov boli čerpané z evidencie RISO, SAŽP, ŠÚ SR.</w:t>
      </w:r>
    </w:p>
    <w:p w:rsidR="00332909" w:rsidRDefault="00332909" w:rsidP="006D2E6D">
      <w:pPr>
        <w:pStyle w:val="Hlavika"/>
        <w:spacing w:line="276" w:lineRule="auto"/>
        <w:rPr>
          <w:highlight w:val="yellow"/>
        </w:rPr>
      </w:pPr>
    </w:p>
    <w:p w:rsidR="00332909" w:rsidRDefault="00332909" w:rsidP="006D2E6D">
      <w:pPr>
        <w:pStyle w:val="Textkomentra"/>
        <w:spacing w:line="276" w:lineRule="auto"/>
        <w:rPr>
          <w:sz w:val="22"/>
          <w:szCs w:val="22"/>
        </w:rPr>
      </w:pPr>
      <w:r>
        <w:rPr>
          <w:sz w:val="22"/>
          <w:szCs w:val="22"/>
        </w:rPr>
        <w:t xml:space="preserve">Každá obec má zabezpečený </w:t>
      </w:r>
      <w:r w:rsidR="00276669">
        <w:rPr>
          <w:sz w:val="22"/>
          <w:szCs w:val="22"/>
        </w:rPr>
        <w:t xml:space="preserve">triedený </w:t>
      </w:r>
      <w:r>
        <w:rPr>
          <w:sz w:val="22"/>
          <w:szCs w:val="22"/>
        </w:rPr>
        <w:t xml:space="preserve">zber odpadu, mimo biologický rozložiteľného odpadu, ktorý sa rieši v súčasnom období. Údaje zloženia </w:t>
      </w:r>
      <w:r w:rsidR="00276669">
        <w:rPr>
          <w:sz w:val="22"/>
          <w:szCs w:val="22"/>
        </w:rPr>
        <w:t xml:space="preserve">vytriedeného </w:t>
      </w:r>
      <w:r>
        <w:rPr>
          <w:sz w:val="22"/>
          <w:szCs w:val="22"/>
        </w:rPr>
        <w:t>odpadu spracovateľa v Bardejove za r. 2017 sú uvedené v </w:t>
      </w:r>
      <w:r w:rsidRPr="00B55BF9">
        <w:rPr>
          <w:sz w:val="22"/>
          <w:szCs w:val="22"/>
        </w:rPr>
        <w:t>(</w:t>
      </w:r>
      <w:r>
        <w:rPr>
          <w:sz w:val="22"/>
          <w:szCs w:val="22"/>
        </w:rPr>
        <w:t>Tab. 1)</w:t>
      </w:r>
    </w:p>
    <w:p w:rsidR="00332909" w:rsidRDefault="00332909" w:rsidP="00332909">
      <w:pPr>
        <w:spacing w:before="120" w:after="0"/>
        <w:jc w:val="left"/>
        <w:rPr>
          <w:rFonts w:cs="Times New Roman"/>
          <w:sz w:val="20"/>
        </w:rPr>
      </w:pPr>
      <w:r>
        <w:rPr>
          <w:rFonts w:cs="Times New Roman"/>
          <w:sz w:val="20"/>
        </w:rPr>
        <w:t>Tab. 1</w:t>
      </w:r>
      <w:r>
        <w:t xml:space="preserve">  Zloženie </w:t>
      </w:r>
      <w:r w:rsidR="00276669">
        <w:t xml:space="preserve">vytriedeného </w:t>
      </w:r>
      <w:r>
        <w:t>odpadu v okrese Bardejov za rok 2017</w:t>
      </w:r>
    </w:p>
    <w:tbl>
      <w:tblPr>
        <w:tblW w:w="7510" w:type="dxa"/>
        <w:tblInd w:w="212" w:type="dxa"/>
        <w:tblCellMar>
          <w:left w:w="70" w:type="dxa"/>
          <w:right w:w="70" w:type="dxa"/>
        </w:tblCellMar>
        <w:tblLook w:val="04A0" w:firstRow="1" w:lastRow="0" w:firstColumn="1" w:lastColumn="0" w:noHBand="0" w:noVBand="1"/>
      </w:tblPr>
      <w:tblGrid>
        <w:gridCol w:w="4256"/>
        <w:gridCol w:w="1573"/>
        <w:gridCol w:w="1681"/>
      </w:tblGrid>
      <w:tr w:rsidR="00332909" w:rsidTr="006D2E6D">
        <w:trPr>
          <w:trHeight w:val="315"/>
        </w:trPr>
        <w:tc>
          <w:tcPr>
            <w:tcW w:w="4256" w:type="dxa"/>
            <w:vMerge w:val="restart"/>
            <w:tcBorders>
              <w:top w:val="single" w:sz="4" w:space="0" w:color="auto"/>
              <w:left w:val="single" w:sz="4" w:space="0" w:color="auto"/>
              <w:bottom w:val="single" w:sz="4" w:space="0" w:color="000000"/>
              <w:right w:val="nil"/>
            </w:tcBorders>
            <w:vAlign w:val="center"/>
            <w:hideMark/>
          </w:tcPr>
          <w:p w:rsidR="00332909" w:rsidRDefault="00332909">
            <w:pPr>
              <w:spacing w:after="0" w:line="240" w:lineRule="auto"/>
              <w:jc w:val="center"/>
              <w:rPr>
                <w:rFonts w:eastAsia="Times New Roman" w:cs="Times New Roman"/>
                <w:b/>
                <w:color w:val="000000"/>
                <w:lang w:eastAsia="sk-SK"/>
              </w:rPr>
            </w:pPr>
            <w:r>
              <w:rPr>
                <w:rFonts w:eastAsia="Times New Roman" w:cs="Times New Roman"/>
                <w:b/>
                <w:color w:val="000000"/>
                <w:lang w:eastAsia="sk-SK"/>
              </w:rPr>
              <w:t xml:space="preserve">Názov odpadu podľa </w:t>
            </w:r>
          </w:p>
          <w:p w:rsidR="00332909" w:rsidRDefault="00332909">
            <w:pPr>
              <w:spacing w:after="0" w:line="240" w:lineRule="auto"/>
              <w:jc w:val="center"/>
              <w:rPr>
                <w:rFonts w:eastAsia="Times New Roman" w:cs="Times New Roman"/>
                <w:b/>
                <w:color w:val="000000"/>
                <w:lang w:eastAsia="sk-SK"/>
              </w:rPr>
            </w:pPr>
            <w:r>
              <w:rPr>
                <w:rFonts w:eastAsia="Times New Roman" w:cs="Times New Roman"/>
                <w:b/>
                <w:color w:val="000000"/>
                <w:lang w:eastAsia="sk-SK"/>
              </w:rPr>
              <w:t>Katalógu odpadov</w:t>
            </w:r>
          </w:p>
        </w:tc>
        <w:tc>
          <w:tcPr>
            <w:tcW w:w="3254" w:type="dxa"/>
            <w:gridSpan w:val="2"/>
            <w:tcBorders>
              <w:top w:val="single" w:sz="4" w:space="0" w:color="auto"/>
              <w:left w:val="nil"/>
              <w:bottom w:val="nil"/>
              <w:right w:val="single" w:sz="4" w:space="0" w:color="000000"/>
            </w:tcBorders>
            <w:noWrap/>
            <w:vAlign w:val="bottom"/>
            <w:hideMark/>
          </w:tcPr>
          <w:p w:rsidR="00332909" w:rsidRDefault="00332909">
            <w:pPr>
              <w:spacing w:after="0" w:line="240" w:lineRule="auto"/>
              <w:jc w:val="left"/>
              <w:rPr>
                <w:rFonts w:eastAsia="Times New Roman" w:cs="Times New Roman"/>
                <w:b/>
                <w:color w:val="000000"/>
                <w:lang w:eastAsia="sk-SK"/>
              </w:rPr>
            </w:pPr>
            <w:r>
              <w:rPr>
                <w:rFonts w:eastAsia="Times New Roman" w:cs="Times New Roman"/>
                <w:b/>
                <w:color w:val="000000"/>
                <w:lang w:eastAsia="sk-SK"/>
              </w:rPr>
              <w:t>Množstvo odpadov</w:t>
            </w:r>
          </w:p>
        </w:tc>
      </w:tr>
      <w:tr w:rsidR="00332909" w:rsidTr="006D2E6D">
        <w:trPr>
          <w:trHeight w:val="223"/>
        </w:trPr>
        <w:tc>
          <w:tcPr>
            <w:tcW w:w="4256" w:type="dxa"/>
            <w:vMerge/>
            <w:tcBorders>
              <w:top w:val="single" w:sz="4" w:space="0" w:color="auto"/>
              <w:left w:val="single" w:sz="4" w:space="0" w:color="auto"/>
              <w:bottom w:val="single" w:sz="4" w:space="0" w:color="000000"/>
              <w:right w:val="nil"/>
            </w:tcBorders>
            <w:vAlign w:val="center"/>
            <w:hideMark/>
          </w:tcPr>
          <w:p w:rsidR="00332909" w:rsidRDefault="00332909">
            <w:pPr>
              <w:spacing w:after="0" w:line="240" w:lineRule="auto"/>
              <w:jc w:val="left"/>
              <w:rPr>
                <w:rFonts w:eastAsia="Times New Roman" w:cs="Times New Roman"/>
                <w:b/>
                <w:color w:val="000000"/>
                <w:lang w:eastAsia="sk-SK"/>
              </w:rPr>
            </w:pPr>
          </w:p>
        </w:tc>
        <w:tc>
          <w:tcPr>
            <w:tcW w:w="1573" w:type="dxa"/>
            <w:tcBorders>
              <w:top w:val="nil"/>
              <w:left w:val="nil"/>
              <w:bottom w:val="single" w:sz="4" w:space="0" w:color="auto"/>
              <w:right w:val="nil"/>
            </w:tcBorders>
            <w:noWrap/>
            <w:vAlign w:val="bottom"/>
            <w:hideMark/>
          </w:tcPr>
          <w:p w:rsidR="00332909" w:rsidRDefault="00332909">
            <w:pPr>
              <w:spacing w:after="0" w:line="240" w:lineRule="auto"/>
              <w:jc w:val="center"/>
              <w:rPr>
                <w:rFonts w:eastAsia="Times New Roman" w:cs="Times New Roman"/>
                <w:b/>
                <w:color w:val="000000"/>
                <w:lang w:eastAsia="sk-SK"/>
              </w:rPr>
            </w:pPr>
            <w:r>
              <w:rPr>
                <w:rFonts w:eastAsia="Times New Roman" w:cs="Times New Roman"/>
                <w:b/>
                <w:color w:val="000000"/>
                <w:lang w:eastAsia="sk-SK"/>
              </w:rPr>
              <w:t>[ t ]</w:t>
            </w:r>
          </w:p>
        </w:tc>
        <w:tc>
          <w:tcPr>
            <w:tcW w:w="1681"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b/>
                <w:color w:val="000000"/>
                <w:lang w:eastAsia="sk-SK"/>
              </w:rPr>
            </w:pPr>
            <w:r>
              <w:rPr>
                <w:rFonts w:eastAsia="Times New Roman" w:cs="Times New Roman"/>
                <w:b/>
                <w:color w:val="000000"/>
                <w:lang w:eastAsia="sk-SK"/>
              </w:rPr>
              <w:t>[%]</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Zmesový komunálny</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8062,5</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85,98%</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Objemný</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849,7</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9,06%</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Plasty</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187,9</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2,00%</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Sklo</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105,6</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1,13%</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Papier a lepenka</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72,0</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0,77%</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Drobný stavebný</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68,9</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0,73%</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Vyradená elektronika a zariadenia</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15,3</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0,16%</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Kovy</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7,7</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0,08%</w:t>
            </w:r>
          </w:p>
        </w:tc>
      </w:tr>
      <w:tr w:rsidR="00332909" w:rsidTr="006D2E6D">
        <w:trPr>
          <w:trHeight w:val="276"/>
        </w:trPr>
        <w:tc>
          <w:tcPr>
            <w:tcW w:w="4256" w:type="dxa"/>
            <w:tcBorders>
              <w:top w:val="nil"/>
              <w:left w:val="single" w:sz="4"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Obaly Tetra Pak</w:t>
            </w:r>
          </w:p>
        </w:tc>
        <w:tc>
          <w:tcPr>
            <w:tcW w:w="1573" w:type="dxa"/>
            <w:tcBorders>
              <w:top w:val="nil"/>
              <w:left w:val="single" w:sz="4" w:space="0" w:color="auto"/>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3,7</w:t>
            </w:r>
          </w:p>
        </w:tc>
        <w:tc>
          <w:tcPr>
            <w:tcW w:w="1681" w:type="dxa"/>
            <w:tcBorders>
              <w:top w:val="nil"/>
              <w:left w:val="nil"/>
              <w:bottom w:val="nil"/>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0,04%</w:t>
            </w:r>
          </w:p>
        </w:tc>
      </w:tr>
      <w:tr w:rsidR="00332909" w:rsidTr="006D2E6D">
        <w:trPr>
          <w:trHeight w:val="276"/>
        </w:trPr>
        <w:tc>
          <w:tcPr>
            <w:tcW w:w="4256" w:type="dxa"/>
            <w:tcBorders>
              <w:top w:val="nil"/>
              <w:left w:val="single" w:sz="4" w:space="0" w:color="auto"/>
              <w:bottom w:val="single" w:sz="4" w:space="0" w:color="auto"/>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Iné</w:t>
            </w:r>
          </w:p>
        </w:tc>
        <w:tc>
          <w:tcPr>
            <w:tcW w:w="1573" w:type="dxa"/>
            <w:tcBorders>
              <w:top w:val="nil"/>
              <w:left w:val="single" w:sz="4" w:space="0" w:color="auto"/>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2,1</w:t>
            </w:r>
          </w:p>
        </w:tc>
        <w:tc>
          <w:tcPr>
            <w:tcW w:w="1681"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0,02%</w:t>
            </w:r>
          </w:p>
        </w:tc>
      </w:tr>
      <w:tr w:rsidR="00332909" w:rsidTr="006D2E6D">
        <w:trPr>
          <w:trHeight w:val="263"/>
        </w:trPr>
        <w:tc>
          <w:tcPr>
            <w:tcW w:w="4256" w:type="dxa"/>
            <w:tcBorders>
              <w:top w:val="nil"/>
              <w:left w:val="single" w:sz="4" w:space="0" w:color="auto"/>
              <w:bottom w:val="single" w:sz="4" w:space="0" w:color="auto"/>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Spolu v roku 2017:</w:t>
            </w:r>
          </w:p>
        </w:tc>
        <w:tc>
          <w:tcPr>
            <w:tcW w:w="1573" w:type="dxa"/>
            <w:tcBorders>
              <w:top w:val="nil"/>
              <w:left w:val="nil"/>
              <w:bottom w:val="single" w:sz="4" w:space="0" w:color="auto"/>
              <w:right w:val="nil"/>
            </w:tcBorders>
            <w:noWrap/>
            <w:vAlign w:val="bottom"/>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9377,3</w:t>
            </w:r>
          </w:p>
        </w:tc>
        <w:tc>
          <w:tcPr>
            <w:tcW w:w="1681"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color w:val="000000"/>
                <w:lang w:eastAsia="sk-SK"/>
              </w:rPr>
            </w:pPr>
            <w:r>
              <w:rPr>
                <w:rFonts w:eastAsia="Times New Roman" w:cs="Times New Roman"/>
                <w:color w:val="000000"/>
                <w:lang w:eastAsia="sk-SK"/>
              </w:rPr>
              <w:t>100,0%</w:t>
            </w:r>
          </w:p>
        </w:tc>
      </w:tr>
    </w:tbl>
    <w:p w:rsidR="00332909" w:rsidRDefault="00332909" w:rsidP="00332909">
      <w:pPr>
        <w:spacing w:before="120" w:after="0"/>
        <w:jc w:val="left"/>
        <w:rPr>
          <w:rFonts w:cs="Times New Roman"/>
          <w:sz w:val="20"/>
        </w:rPr>
      </w:pPr>
      <w:r>
        <w:rPr>
          <w:rFonts w:cs="Times New Roman"/>
          <w:sz w:val="20"/>
        </w:rPr>
        <w:t>Zdroj: OÚ Bardejov z podkladov hlásenia</w:t>
      </w:r>
    </w:p>
    <w:p w:rsidR="00332909" w:rsidRDefault="00332909" w:rsidP="00332909">
      <w:pPr>
        <w:spacing w:before="120"/>
        <w:rPr>
          <w:rFonts w:cs="Times New Roman"/>
        </w:rPr>
      </w:pPr>
      <w:r>
        <w:rPr>
          <w:rFonts w:cs="Times New Roman"/>
        </w:rPr>
        <w:t xml:space="preserve">Množstvo biologicky rozložiteľného odpadu vyprodukovaného v okrese za rok 2017 bolo 1 379 ton. V okrese Bardejov sa nachádza jedna skládka odpadov na nie nebezpečný odpad Hertník – Bartošovce, ktorá je v súčasnosti uzavretá a prebieha rekultivácia. V okrese Bardejov sa nenachádza spaľovňa odpadov. V okrese sa nachádzajú dve zariadenia na zhodnocovanie odpadov. V Zborove je zhodnocovanie stavebných odpadov mobilným zariadením s kapacitou 20 000 t/r. V obci Gaboltov sa nachádza kompostáreň s kapacitou 200 t/r. V okrese zabezpečujú zber a triedenie odpadu ako dopravcovia odpadu 3 spoločnosti. 7 subjektov zabezpečuje zber a triedenie odpadu v zariadení na zber odpadov. </w:t>
      </w:r>
      <w:r>
        <w:t xml:space="preserve">Nebezpečný odpad sa v okrese Bardejov nezhodnocuje (nelikviduje), vyváža sa do susedného okresu Prešov a do Starej Ľubovne  ( hlavne zdravotnícky odpad). </w:t>
      </w:r>
    </w:p>
    <w:p w:rsidR="00332909" w:rsidRDefault="00332909" w:rsidP="00332909">
      <w:pPr>
        <w:spacing w:before="120"/>
        <w:rPr>
          <w:rFonts w:cs="Times New Roman"/>
        </w:rPr>
      </w:pPr>
      <w:r>
        <w:rPr>
          <w:rFonts w:cs="Times New Roman"/>
          <w:b/>
        </w:rPr>
        <w:t xml:space="preserve">V oblasti odpadového hospodárstva je najväčším problémom predchádzanie vzniku, zber a zhodnocovanie biologicky rozložiteľného odpadu a triedený zber odpadu. Environmentálnou záťažou, výrazne poškodzujúcou životné prostredie sú nelegálne skládky, ktoré v minulosti v okrese vznikali živelne, neriadene, v mnohých prípadoch v bezprostrednej blízkosti obytných sídiel a vodných plôch. </w:t>
      </w:r>
    </w:p>
    <w:p w:rsidR="00332909" w:rsidRDefault="00332909" w:rsidP="00332909">
      <w:pPr>
        <w:spacing w:after="0"/>
        <w:rPr>
          <w:rFonts w:cs="Times New Roman"/>
        </w:rPr>
      </w:pPr>
      <w:r>
        <w:rPr>
          <w:rFonts w:cs="Times New Roman"/>
        </w:rPr>
        <w:t xml:space="preserve">Do budúcna je potrebné pokračovať v plynofikácii malých obcí, čím znížime riziká vypúšťania toxických emisií do ovzdušia. V rámci okresu z celkového počtu 86 sídiel je plynofikovaných len 67. </w:t>
      </w:r>
    </w:p>
    <w:p w:rsidR="00332909" w:rsidRDefault="00332909" w:rsidP="00332909">
      <w:pPr>
        <w:pStyle w:val="Nadpis2"/>
        <w:shd w:val="clear" w:color="auto" w:fill="BFBFBF" w:themeFill="background1" w:themeFillShade="BF"/>
        <w:rPr>
          <w:caps/>
        </w:rPr>
      </w:pPr>
      <w:bookmarkStart w:id="7" w:name="_Toc511211856"/>
      <w:bookmarkStart w:id="8" w:name="_Toc517084333"/>
      <w:r>
        <w:t>Demografická situácia a bytový fond</w:t>
      </w:r>
      <w:bookmarkEnd w:id="7"/>
      <w:bookmarkEnd w:id="8"/>
      <w:r>
        <w:t> </w:t>
      </w:r>
    </w:p>
    <w:p w:rsidR="00332909" w:rsidRDefault="00332909" w:rsidP="00332909">
      <w:pPr>
        <w:rPr>
          <w:rFonts w:cs="Times New Roman"/>
        </w:rPr>
      </w:pPr>
      <w:r>
        <w:rPr>
          <w:rFonts w:cs="Times New Roman"/>
        </w:rPr>
        <w:t xml:space="preserve">Ako je vyššie uvedené, v okrese Bardejov žije 77 742 obyvateľov, pričom </w:t>
      </w:r>
      <w:r>
        <w:rPr>
          <w:rFonts w:cs="Times New Roman"/>
          <w:b/>
        </w:rPr>
        <w:t>85,6 % je slovenskej národnosti,</w:t>
      </w:r>
      <w:r>
        <w:rPr>
          <w:rFonts w:cs="Times New Roman"/>
        </w:rPr>
        <w:t xml:space="preserve"> </w:t>
      </w:r>
      <w:r>
        <w:rPr>
          <w:rFonts w:cs="Times New Roman"/>
          <w:b/>
        </w:rPr>
        <w:t>3,5 % rusínskej národnosti</w:t>
      </w:r>
      <w:r>
        <w:rPr>
          <w:rFonts w:cs="Times New Roman"/>
        </w:rPr>
        <w:t xml:space="preserve"> a 4,6 % tvoria príslušníci rómskej národnosti (</w:t>
      </w:r>
      <w:r w:rsidR="00031D76">
        <w:fldChar w:fldCharType="begin"/>
      </w:r>
      <w:r w:rsidR="00031D76">
        <w:instrText xml:space="preserve"> REF _Ref484606968 \h  \* MERGEFORMAT </w:instrText>
      </w:r>
      <w:r w:rsidR="00031D76">
        <w:fldChar w:fldCharType="separate"/>
      </w:r>
      <w:r w:rsidR="005922EB" w:rsidRPr="005922EB">
        <w:rPr>
          <w:rFonts w:cs="Times New Roman"/>
        </w:rPr>
        <w:t xml:space="preserve">Tab. </w:t>
      </w:r>
      <w:r w:rsidR="00031D76">
        <w:fldChar w:fldCharType="end"/>
      </w:r>
      <w:r>
        <w:t>2</w:t>
      </w:r>
      <w:r>
        <w:rPr>
          <w:rFonts w:cs="Times New Roman"/>
        </w:rPr>
        <w:t xml:space="preserve">). Avšak údaje z Atlasu rómskych komunít z roku 2013 poukazujú na skutočnosť, že </w:t>
      </w:r>
      <w:r>
        <w:rPr>
          <w:rFonts w:cs="Times New Roman"/>
          <w:b/>
        </w:rPr>
        <w:t xml:space="preserve">zastúpenie rómskeho obyvateľstva </w:t>
      </w:r>
      <w:r>
        <w:rPr>
          <w:rFonts w:cs="Times New Roman"/>
        </w:rPr>
        <w:t xml:space="preserve">v okrese je omnoho vyššie a to na úrovni </w:t>
      </w:r>
      <w:r>
        <w:rPr>
          <w:rFonts w:cs="Times New Roman"/>
          <w:b/>
        </w:rPr>
        <w:t>13,8 %.</w:t>
      </w:r>
    </w:p>
    <w:p w:rsidR="00332909" w:rsidRDefault="00332909" w:rsidP="00332909">
      <w:pPr>
        <w:pStyle w:val="Popis"/>
        <w:keepNext/>
        <w:spacing w:after="0" w:line="276" w:lineRule="auto"/>
        <w:rPr>
          <w:rFonts w:cs="Times New Roman"/>
          <w:i w:val="0"/>
          <w:color w:val="auto"/>
          <w:sz w:val="20"/>
          <w:szCs w:val="22"/>
        </w:rPr>
      </w:pPr>
      <w:bookmarkStart w:id="9" w:name="_Ref484606968"/>
      <w:r>
        <w:rPr>
          <w:rFonts w:cs="Times New Roman"/>
          <w:i w:val="0"/>
          <w:color w:val="auto"/>
          <w:sz w:val="20"/>
          <w:szCs w:val="22"/>
        </w:rPr>
        <w:lastRenderedPageBreak/>
        <w:t xml:space="preserve">Tab. </w:t>
      </w:r>
      <w:bookmarkEnd w:id="9"/>
      <w:r>
        <w:rPr>
          <w:rFonts w:cs="Times New Roman"/>
          <w:i w:val="0"/>
          <w:color w:val="auto"/>
          <w:sz w:val="20"/>
          <w:szCs w:val="22"/>
        </w:rPr>
        <w:t>2 Obyvateľstvo okresu Bardejov podľa národností (v %)</w:t>
      </w:r>
    </w:p>
    <w:tbl>
      <w:tblPr>
        <w:tblStyle w:val="Mriekatabuky"/>
        <w:tblW w:w="8344" w:type="dxa"/>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7"/>
        <w:gridCol w:w="1627"/>
        <w:gridCol w:w="1874"/>
        <w:gridCol w:w="1726"/>
      </w:tblGrid>
      <w:tr w:rsidR="00332909" w:rsidTr="00332909">
        <w:trPr>
          <w:trHeight w:val="475"/>
        </w:trPr>
        <w:tc>
          <w:tcPr>
            <w:tcW w:w="3117" w:type="dxa"/>
            <w:tcBorders>
              <w:top w:val="single" w:sz="12" w:space="0" w:color="auto"/>
              <w:left w:val="single" w:sz="12" w:space="0" w:color="auto"/>
              <w:bottom w:val="single" w:sz="12" w:space="0" w:color="auto"/>
              <w:right w:val="single" w:sz="12" w:space="0" w:color="auto"/>
            </w:tcBorders>
          </w:tcPr>
          <w:p w:rsidR="00332909" w:rsidRDefault="00332909">
            <w:pPr>
              <w:spacing w:after="0" w:line="276" w:lineRule="auto"/>
              <w:rPr>
                <w:rFonts w:cs="Times New Roman"/>
              </w:rPr>
            </w:pPr>
          </w:p>
        </w:tc>
        <w:tc>
          <w:tcPr>
            <w:tcW w:w="1627" w:type="dxa"/>
            <w:tcBorders>
              <w:top w:val="single" w:sz="12" w:space="0" w:color="auto"/>
              <w:left w:val="single" w:sz="12"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Okres Bardejov</w:t>
            </w:r>
          </w:p>
        </w:tc>
        <w:tc>
          <w:tcPr>
            <w:tcW w:w="1874"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Prešovský samosprávny kraj</w:t>
            </w:r>
          </w:p>
        </w:tc>
        <w:tc>
          <w:tcPr>
            <w:tcW w:w="1726" w:type="dxa"/>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Slovensko</w:t>
            </w:r>
          </w:p>
        </w:tc>
      </w:tr>
      <w:tr w:rsidR="00332909" w:rsidTr="00332909">
        <w:trPr>
          <w:trHeight w:val="233"/>
        </w:trPr>
        <w:tc>
          <w:tcPr>
            <w:tcW w:w="3117" w:type="dxa"/>
            <w:tcBorders>
              <w:top w:val="single" w:sz="12"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vertAlign w:val="superscript"/>
              </w:rPr>
            </w:pPr>
            <w:r>
              <w:rPr>
                <w:rFonts w:cs="Times New Roman"/>
              </w:rPr>
              <w:t>Slovenská</w:t>
            </w:r>
          </w:p>
        </w:tc>
        <w:tc>
          <w:tcPr>
            <w:tcW w:w="1627" w:type="dxa"/>
            <w:tcBorders>
              <w:top w:val="single" w:sz="12"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85,6</w:t>
            </w:r>
          </w:p>
        </w:tc>
        <w:tc>
          <w:tcPr>
            <w:tcW w:w="1874"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83,1</w:t>
            </w:r>
          </w:p>
        </w:tc>
        <w:tc>
          <w:tcPr>
            <w:tcW w:w="1726"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81,3</w:t>
            </w:r>
          </w:p>
        </w:tc>
      </w:tr>
      <w:tr w:rsidR="00332909" w:rsidTr="00332909">
        <w:trPr>
          <w:trHeight w:val="233"/>
        </w:trPr>
        <w:tc>
          <w:tcPr>
            <w:tcW w:w="3117"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vertAlign w:val="superscript"/>
              </w:rPr>
            </w:pPr>
            <w:r>
              <w:rPr>
                <w:rFonts w:cs="Times New Roman"/>
              </w:rPr>
              <w:t>Rusínska</w:t>
            </w:r>
          </w:p>
        </w:tc>
        <w:tc>
          <w:tcPr>
            <w:tcW w:w="1627"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3,5</w:t>
            </w:r>
          </w:p>
        </w:tc>
        <w:tc>
          <w:tcPr>
            <w:tcW w:w="1874"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3,2</w:t>
            </w:r>
          </w:p>
        </w:tc>
        <w:tc>
          <w:tcPr>
            <w:tcW w:w="172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0,6</w:t>
            </w:r>
          </w:p>
        </w:tc>
      </w:tr>
      <w:tr w:rsidR="00332909" w:rsidTr="00332909">
        <w:trPr>
          <w:trHeight w:val="233"/>
        </w:trPr>
        <w:tc>
          <w:tcPr>
            <w:tcW w:w="3117"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vertAlign w:val="superscript"/>
              </w:rPr>
            </w:pPr>
            <w:r>
              <w:rPr>
                <w:rFonts w:cs="Times New Roman"/>
              </w:rPr>
              <w:t>Rómska</w:t>
            </w:r>
          </w:p>
        </w:tc>
        <w:tc>
          <w:tcPr>
            <w:tcW w:w="1627"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4,6</w:t>
            </w:r>
          </w:p>
        </w:tc>
        <w:tc>
          <w:tcPr>
            <w:tcW w:w="1874"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5,4</w:t>
            </w:r>
          </w:p>
        </w:tc>
        <w:tc>
          <w:tcPr>
            <w:tcW w:w="172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2,0</w:t>
            </w:r>
          </w:p>
        </w:tc>
      </w:tr>
      <w:tr w:rsidR="00332909" w:rsidTr="00332909">
        <w:trPr>
          <w:trHeight w:val="233"/>
        </w:trPr>
        <w:tc>
          <w:tcPr>
            <w:tcW w:w="3117" w:type="dxa"/>
            <w:tcBorders>
              <w:top w:val="single" w:sz="4" w:space="0" w:color="auto"/>
              <w:left w:val="single" w:sz="12" w:space="0" w:color="auto"/>
              <w:bottom w:val="single" w:sz="12" w:space="0" w:color="auto"/>
              <w:right w:val="single" w:sz="12" w:space="0" w:color="auto"/>
            </w:tcBorders>
            <w:hideMark/>
          </w:tcPr>
          <w:p w:rsidR="00332909" w:rsidRDefault="00332909">
            <w:pPr>
              <w:spacing w:after="0" w:line="276" w:lineRule="auto"/>
              <w:rPr>
                <w:rFonts w:cs="Times New Roman"/>
                <w:vertAlign w:val="superscript"/>
              </w:rPr>
            </w:pPr>
            <w:r>
              <w:rPr>
                <w:rFonts w:cs="Times New Roman"/>
              </w:rPr>
              <w:t>Ostatné národnosti</w:t>
            </w:r>
          </w:p>
        </w:tc>
        <w:tc>
          <w:tcPr>
            <w:tcW w:w="1627" w:type="dxa"/>
            <w:tcBorders>
              <w:top w:val="single" w:sz="4" w:space="0" w:color="auto"/>
              <w:left w:val="single" w:sz="12" w:space="0" w:color="auto"/>
              <w:bottom w:val="single" w:sz="12" w:space="0" w:color="auto"/>
              <w:right w:val="single" w:sz="4" w:space="0" w:color="auto"/>
            </w:tcBorders>
            <w:hideMark/>
          </w:tcPr>
          <w:p w:rsidR="00332909" w:rsidRDefault="00332909">
            <w:pPr>
              <w:spacing w:after="0" w:line="276" w:lineRule="auto"/>
              <w:jc w:val="center"/>
              <w:rPr>
                <w:rFonts w:cs="Times New Roman"/>
              </w:rPr>
            </w:pPr>
            <w:r>
              <w:rPr>
                <w:rFonts w:cs="Times New Roman"/>
              </w:rPr>
              <w:t>6,3</w:t>
            </w:r>
          </w:p>
        </w:tc>
        <w:tc>
          <w:tcPr>
            <w:tcW w:w="1874"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rPr>
            </w:pPr>
            <w:r>
              <w:rPr>
                <w:rFonts w:cs="Times New Roman"/>
              </w:rPr>
              <w:t>8,3</w:t>
            </w:r>
          </w:p>
        </w:tc>
        <w:tc>
          <w:tcPr>
            <w:tcW w:w="1726" w:type="dxa"/>
            <w:tcBorders>
              <w:top w:val="single" w:sz="4" w:space="0" w:color="auto"/>
              <w:left w:val="single" w:sz="4" w:space="0" w:color="auto"/>
              <w:bottom w:val="single" w:sz="12" w:space="0" w:color="auto"/>
              <w:right w:val="single" w:sz="12" w:space="0" w:color="auto"/>
            </w:tcBorders>
            <w:hideMark/>
          </w:tcPr>
          <w:p w:rsidR="00332909" w:rsidRDefault="00332909">
            <w:pPr>
              <w:spacing w:after="0" w:line="276" w:lineRule="auto"/>
              <w:jc w:val="center"/>
              <w:rPr>
                <w:rFonts w:cs="Times New Roman"/>
              </w:rPr>
            </w:pPr>
            <w:r>
              <w:rPr>
                <w:rFonts w:cs="Times New Roman"/>
              </w:rPr>
              <w:t>16,1</w:t>
            </w:r>
          </w:p>
        </w:tc>
      </w:tr>
    </w:tbl>
    <w:p w:rsidR="00332909" w:rsidRDefault="00332909" w:rsidP="00332909">
      <w:pPr>
        <w:spacing w:before="120" w:after="0"/>
        <w:rPr>
          <w:rFonts w:cs="Times New Roman"/>
          <w:sz w:val="20"/>
        </w:rPr>
      </w:pPr>
      <w:r>
        <w:rPr>
          <w:rFonts w:cs="Times New Roman"/>
          <w:sz w:val="20"/>
        </w:rPr>
        <w:t xml:space="preserve">Zdroj: ŠÚ SR, DATAcube, Demografia a sociálne štatistiky, apríl 2016 </w:t>
      </w:r>
    </w:p>
    <w:p w:rsidR="00332909" w:rsidRDefault="00332909" w:rsidP="00332909">
      <w:pPr>
        <w:spacing w:before="120"/>
        <w:rPr>
          <w:rFonts w:cs="Times New Roman"/>
        </w:rPr>
      </w:pPr>
      <w:r>
        <w:rPr>
          <w:rFonts w:cs="Times New Roman"/>
        </w:rPr>
        <w:t>Rómske obyvateľstvo žije v prevažne segregovaných osadách v okresnom meste Bardejov a v ďalších 24 obciach okresu. V šiestich obciach okresu – Cigeľka, Frička, Lenartov, Petrova, Varadka a Zborov tvoria viac, ako polovicu obyvateľstva v príslušných obciach. Mnohokrát majú sťažený prístup k vzdelaniu, pretože v siedmich obciach nie je zriadená materská škola ani základná škola. Ako efektívny sa javí proces začleňovania rómskej komunity do spoločnosti prostredníctvom komunitných centier. Tieto sú zriadené iba v troch obciach, a to v Lenartove, Raslaviciach a vo Sveržove. Veľkou pomocou pre rómske obyvateľstvo je terénna sociálna práca, ktorá poskytuje svoje služby v 16 obciach okresu. V prospech rómskej menšiny v okrese Bardejov vyvíja svoju činnosť 23 regis</w:t>
      </w:r>
      <w:r w:rsidR="006D2E6D">
        <w:rPr>
          <w:rFonts w:cs="Times New Roman"/>
        </w:rPr>
        <w:t>trovaných občianskych združení.</w:t>
      </w:r>
    </w:p>
    <w:p w:rsidR="00332909" w:rsidRPr="006D2E6D" w:rsidRDefault="00332909" w:rsidP="00332909">
      <w:pPr>
        <w:rPr>
          <w:rFonts w:cs="Times New Roman"/>
          <w:b/>
        </w:rPr>
      </w:pPr>
      <w:r>
        <w:rPr>
          <w:rFonts w:cs="Times New Roman"/>
          <w:b/>
        </w:rPr>
        <w:t>Z hľadiska vekovej štruktúry patrí okres Bardejov k okresom s mladším zložením obyvateľstva</w:t>
      </w:r>
      <w:r>
        <w:rPr>
          <w:rFonts w:cs="Times New Roman"/>
        </w:rPr>
        <w:t xml:space="preserve"> (</w:t>
      </w:r>
      <w:r w:rsidR="00031D76">
        <w:fldChar w:fldCharType="begin"/>
      </w:r>
      <w:r w:rsidR="00031D76">
        <w:instrText xml:space="preserve"> REF _Ref488516633 \h  \* MERGEFORMAT </w:instrText>
      </w:r>
      <w:r w:rsidR="00031D76">
        <w:fldChar w:fldCharType="separate"/>
      </w:r>
      <w:r w:rsidR="005922EB" w:rsidRPr="005922EB">
        <w:rPr>
          <w:rFonts w:cs="Times New Roman"/>
        </w:rPr>
        <w:t xml:space="preserve">Tab. </w:t>
      </w:r>
      <w:r w:rsidR="00031D76">
        <w:fldChar w:fldCharType="end"/>
      </w:r>
      <w:r>
        <w:t>3</w:t>
      </w:r>
      <w:r>
        <w:rPr>
          <w:rFonts w:cs="Times New Roman"/>
        </w:rPr>
        <w:t>). Priemerný vek v okrese je 38,6 rokov, pričom priemerný vek na Slovensku je 40,4 rokov. Obyvateľstvo okresu v predproduktívnom veku tvorí 17,1 %, čo predstavuje hodnotu o viac ako 1,5 percentuálneho bodu vyššiu v porovnaní so slovenským priemerom. Obyvateľstvo v poproduktívnom veku tvorí 13,6 %, čo je oproti celoslovenskému priemeru hodnota nižšia o takmer 1,5 percentuálneho bodu. Napriek pomerne mladému zloženiu obyvateľstva v okrese Bardejov došlo k poklesu počtu narodených detí v sledovanom období 1996 – 2016 (</w:t>
      </w:r>
      <w:r w:rsidR="00031D76">
        <w:fldChar w:fldCharType="begin"/>
      </w:r>
      <w:r w:rsidR="00031D76">
        <w:instrText xml:space="preserve"> REF _Ref488651775 \h  \* MERGEFORMAT </w:instrText>
      </w:r>
      <w:r w:rsidR="00031D76">
        <w:fldChar w:fldCharType="separate"/>
      </w:r>
      <w:r w:rsidR="005922EB" w:rsidRPr="005922EB">
        <w:rPr>
          <w:rFonts w:cs="Times New Roman"/>
        </w:rPr>
        <w:t>Graf 1</w:t>
      </w:r>
      <w:r w:rsidR="00031D76">
        <w:fldChar w:fldCharType="end"/>
      </w:r>
      <w:r>
        <w:rPr>
          <w:rFonts w:cs="Times New Roman"/>
        </w:rPr>
        <w:t xml:space="preserve">). Porovnanie rokov 1996 a 2016 poukazuje na pokles počtu narodených o viac ako 15 %. </w:t>
      </w:r>
      <w:r>
        <w:rPr>
          <w:rFonts w:cs="Times New Roman"/>
          <w:b/>
        </w:rPr>
        <w:t>Dlhodobo záporné hodnoty migračného salda (</w:t>
      </w:r>
      <w:r w:rsidR="00031D76">
        <w:fldChar w:fldCharType="begin"/>
      </w:r>
      <w:r w:rsidR="00031D76">
        <w:instrText xml:space="preserve"> REF _Ref488651791 \h  \* MERGEFORMAT </w:instrText>
      </w:r>
      <w:r w:rsidR="00031D76">
        <w:fldChar w:fldCharType="separate"/>
      </w:r>
      <w:r w:rsidR="005922EB">
        <w:rPr>
          <w:rFonts w:cs="Times New Roman"/>
          <w:sz w:val="20"/>
        </w:rPr>
        <w:t xml:space="preserve">Graf </w:t>
      </w:r>
      <w:r w:rsidR="005922EB" w:rsidRPr="005922EB">
        <w:rPr>
          <w:rFonts w:cs="Times New Roman"/>
          <w:sz w:val="20"/>
        </w:rPr>
        <w:t>2</w:t>
      </w:r>
      <w:r w:rsidR="00031D76">
        <w:fldChar w:fldCharType="end"/>
      </w:r>
      <w:r>
        <w:rPr>
          <w:rFonts w:cs="Times New Roman"/>
          <w:b/>
        </w:rPr>
        <w:t>) v okrese vypovedajú o migrácii obyvateľstva z okresu do iných okresov SR, resp. do zahraničia. Dôvodom môžu byť nepriaznivé pracovné</w:t>
      </w:r>
      <w:r w:rsidR="006D2E6D">
        <w:rPr>
          <w:rFonts w:cs="Times New Roman"/>
          <w:b/>
        </w:rPr>
        <w:t xml:space="preserve"> a sociálne podmienky v okrese.</w:t>
      </w:r>
    </w:p>
    <w:p w:rsidR="00332909" w:rsidRDefault="00332909" w:rsidP="00332909">
      <w:pPr>
        <w:pStyle w:val="Popis"/>
        <w:keepNext/>
        <w:spacing w:after="0" w:line="276" w:lineRule="auto"/>
        <w:rPr>
          <w:rFonts w:cs="Times New Roman"/>
          <w:i w:val="0"/>
          <w:color w:val="auto"/>
          <w:sz w:val="20"/>
          <w:szCs w:val="22"/>
        </w:rPr>
      </w:pPr>
      <w:bookmarkStart w:id="10" w:name="_Ref488516633"/>
      <w:r>
        <w:rPr>
          <w:rFonts w:cs="Times New Roman"/>
          <w:i w:val="0"/>
          <w:color w:val="auto"/>
          <w:sz w:val="20"/>
          <w:szCs w:val="22"/>
        </w:rPr>
        <w:t xml:space="preserve">Tab. </w:t>
      </w:r>
      <w:bookmarkEnd w:id="10"/>
      <w:r>
        <w:rPr>
          <w:rFonts w:cs="Times New Roman"/>
          <w:i w:val="0"/>
          <w:color w:val="auto"/>
          <w:sz w:val="20"/>
          <w:szCs w:val="22"/>
        </w:rPr>
        <w:t>3 Obyvateľstvo podľa základných vekových skupín (v abs. hodnotách a v  %)</w:t>
      </w:r>
    </w:p>
    <w:tbl>
      <w:tblPr>
        <w:tblW w:w="8600" w:type="dxa"/>
        <w:tblInd w:w="60" w:type="dxa"/>
        <w:tblCellMar>
          <w:left w:w="70" w:type="dxa"/>
          <w:right w:w="70" w:type="dxa"/>
        </w:tblCellMar>
        <w:tblLook w:val="04A0" w:firstRow="1" w:lastRow="0" w:firstColumn="1" w:lastColumn="0" w:noHBand="0" w:noVBand="1"/>
      </w:tblPr>
      <w:tblGrid>
        <w:gridCol w:w="3412"/>
        <w:gridCol w:w="912"/>
        <w:gridCol w:w="736"/>
        <w:gridCol w:w="1121"/>
        <w:gridCol w:w="659"/>
        <w:gridCol w:w="1169"/>
        <w:gridCol w:w="591"/>
      </w:tblGrid>
      <w:tr w:rsidR="00332909" w:rsidTr="00332909">
        <w:trPr>
          <w:trHeight w:val="300"/>
        </w:trPr>
        <w:tc>
          <w:tcPr>
            <w:tcW w:w="3412" w:type="dxa"/>
            <w:vMerge w:val="restart"/>
            <w:tcBorders>
              <w:top w:val="single" w:sz="8" w:space="0" w:color="auto"/>
              <w:left w:val="single" w:sz="8" w:space="0" w:color="auto"/>
              <w:bottom w:val="single" w:sz="8" w:space="0" w:color="000000"/>
              <w:right w:val="single" w:sz="8" w:space="0" w:color="auto"/>
            </w:tcBorders>
            <w:noWrap/>
            <w:vAlign w:val="center"/>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 xml:space="preserve">Vek </w:t>
            </w:r>
          </w:p>
        </w:tc>
        <w:tc>
          <w:tcPr>
            <w:tcW w:w="1648" w:type="dxa"/>
            <w:gridSpan w:val="2"/>
            <w:tcBorders>
              <w:top w:val="single" w:sz="8" w:space="0" w:color="auto"/>
              <w:left w:val="nil"/>
              <w:bottom w:val="nil"/>
              <w:right w:val="single" w:sz="8" w:space="0" w:color="000000"/>
            </w:tcBorders>
            <w:noWrap/>
            <w:vAlign w:val="center"/>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Okres Bardejov</w:t>
            </w:r>
          </w:p>
        </w:tc>
        <w:tc>
          <w:tcPr>
            <w:tcW w:w="1780" w:type="dxa"/>
            <w:gridSpan w:val="2"/>
            <w:tcBorders>
              <w:top w:val="single" w:sz="8" w:space="0" w:color="auto"/>
              <w:left w:val="nil"/>
              <w:bottom w:val="nil"/>
              <w:right w:val="single" w:sz="8" w:space="0" w:color="000000"/>
            </w:tcBorders>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Prešovský  kraj</w:t>
            </w:r>
          </w:p>
        </w:tc>
        <w:tc>
          <w:tcPr>
            <w:tcW w:w="1760" w:type="dxa"/>
            <w:gridSpan w:val="2"/>
            <w:tcBorders>
              <w:top w:val="single" w:sz="8" w:space="0" w:color="auto"/>
              <w:left w:val="nil"/>
              <w:bottom w:val="nil"/>
              <w:right w:val="single" w:sz="8" w:space="0" w:color="000000"/>
            </w:tcBorders>
            <w:noWrap/>
            <w:vAlign w:val="center"/>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Slovensko</w:t>
            </w:r>
          </w:p>
        </w:tc>
      </w:tr>
      <w:tr w:rsidR="00332909" w:rsidTr="00332909">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332909" w:rsidRDefault="00332909">
            <w:pPr>
              <w:spacing w:after="0" w:line="240" w:lineRule="auto"/>
              <w:jc w:val="left"/>
              <w:rPr>
                <w:rFonts w:ascii="Calibri" w:eastAsia="Times New Roman" w:hAnsi="Calibri" w:cs="Calibri"/>
                <w:color w:val="000000"/>
                <w:lang w:eastAsia="sk-SK"/>
              </w:rPr>
            </w:pPr>
          </w:p>
        </w:tc>
        <w:tc>
          <w:tcPr>
            <w:tcW w:w="912" w:type="dxa"/>
            <w:tcBorders>
              <w:top w:val="nil"/>
              <w:left w:val="nil"/>
              <w:bottom w:val="single" w:sz="8" w:space="0" w:color="auto"/>
              <w:right w:val="nil"/>
            </w:tcBorders>
            <w:noWrap/>
            <w:vAlign w:val="bottom"/>
            <w:hideMark/>
          </w:tcPr>
          <w:p w:rsidR="00332909" w:rsidRDefault="00332909">
            <w:pPr>
              <w:spacing w:after="0" w:line="240" w:lineRule="auto"/>
              <w:jc w:val="center"/>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počet</w:t>
            </w:r>
          </w:p>
        </w:tc>
        <w:tc>
          <w:tcPr>
            <w:tcW w:w="736" w:type="dxa"/>
            <w:tcBorders>
              <w:top w:val="nil"/>
              <w:left w:val="nil"/>
              <w:bottom w:val="single" w:sz="8" w:space="0" w:color="auto"/>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w:t>
            </w:r>
          </w:p>
        </w:tc>
        <w:tc>
          <w:tcPr>
            <w:tcW w:w="1121" w:type="dxa"/>
            <w:tcBorders>
              <w:top w:val="nil"/>
              <w:left w:val="nil"/>
              <w:bottom w:val="single" w:sz="8" w:space="0" w:color="auto"/>
              <w:right w:val="nil"/>
            </w:tcBorders>
            <w:noWrap/>
            <w:vAlign w:val="bottom"/>
            <w:hideMark/>
          </w:tcPr>
          <w:p w:rsidR="00332909" w:rsidRDefault="00332909">
            <w:pPr>
              <w:spacing w:after="0" w:line="240" w:lineRule="auto"/>
              <w:jc w:val="center"/>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počet</w:t>
            </w:r>
          </w:p>
        </w:tc>
        <w:tc>
          <w:tcPr>
            <w:tcW w:w="659" w:type="dxa"/>
            <w:tcBorders>
              <w:top w:val="nil"/>
              <w:left w:val="nil"/>
              <w:bottom w:val="single" w:sz="8" w:space="0" w:color="auto"/>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w:t>
            </w:r>
          </w:p>
        </w:tc>
        <w:tc>
          <w:tcPr>
            <w:tcW w:w="1169" w:type="dxa"/>
            <w:tcBorders>
              <w:top w:val="nil"/>
              <w:left w:val="nil"/>
              <w:bottom w:val="single" w:sz="8" w:space="0" w:color="auto"/>
              <w:right w:val="nil"/>
            </w:tcBorders>
            <w:noWrap/>
            <w:vAlign w:val="bottom"/>
            <w:hideMark/>
          </w:tcPr>
          <w:p w:rsidR="00332909" w:rsidRDefault="00332909">
            <w:pPr>
              <w:spacing w:after="0" w:line="240" w:lineRule="auto"/>
              <w:jc w:val="center"/>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počet</w:t>
            </w:r>
          </w:p>
        </w:tc>
        <w:tc>
          <w:tcPr>
            <w:tcW w:w="591" w:type="dxa"/>
            <w:tcBorders>
              <w:top w:val="nil"/>
              <w:left w:val="nil"/>
              <w:bottom w:val="single" w:sz="8" w:space="0" w:color="auto"/>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w:t>
            </w:r>
          </w:p>
        </w:tc>
      </w:tr>
      <w:tr w:rsidR="00332909" w:rsidTr="00332909">
        <w:trPr>
          <w:trHeight w:val="300"/>
        </w:trPr>
        <w:tc>
          <w:tcPr>
            <w:tcW w:w="3412" w:type="dxa"/>
            <w:tcBorders>
              <w:top w:val="nil"/>
              <w:left w:val="single" w:sz="8"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Predškolský vek (0-2 rokov)</w:t>
            </w:r>
          </w:p>
        </w:tc>
        <w:tc>
          <w:tcPr>
            <w:tcW w:w="912"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2577</w:t>
            </w:r>
          </w:p>
        </w:tc>
        <w:tc>
          <w:tcPr>
            <w:tcW w:w="736"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3,3</w:t>
            </w:r>
          </w:p>
        </w:tc>
        <w:tc>
          <w:tcPr>
            <w:tcW w:w="1121"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28903</w:t>
            </w:r>
          </w:p>
        </w:tc>
        <w:tc>
          <w:tcPr>
            <w:tcW w:w="659"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3,5</w:t>
            </w:r>
          </w:p>
        </w:tc>
        <w:tc>
          <w:tcPr>
            <w:tcW w:w="1169"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169905</w:t>
            </w:r>
          </w:p>
        </w:tc>
        <w:tc>
          <w:tcPr>
            <w:tcW w:w="591"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3,1</w:t>
            </w:r>
          </w:p>
        </w:tc>
      </w:tr>
      <w:tr w:rsidR="00332909" w:rsidTr="00332909">
        <w:trPr>
          <w:trHeight w:val="300"/>
        </w:trPr>
        <w:tc>
          <w:tcPr>
            <w:tcW w:w="3412" w:type="dxa"/>
            <w:tcBorders>
              <w:top w:val="nil"/>
              <w:left w:val="single" w:sz="8"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Predškolský vek (3-5 rok.)</w:t>
            </w:r>
          </w:p>
        </w:tc>
        <w:tc>
          <w:tcPr>
            <w:tcW w:w="912"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2589</w:t>
            </w:r>
          </w:p>
        </w:tc>
        <w:tc>
          <w:tcPr>
            <w:tcW w:w="736"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3,3</w:t>
            </w:r>
          </w:p>
        </w:tc>
        <w:tc>
          <w:tcPr>
            <w:tcW w:w="1121"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29886</w:t>
            </w:r>
          </w:p>
        </w:tc>
        <w:tc>
          <w:tcPr>
            <w:tcW w:w="659"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3,6</w:t>
            </w:r>
          </w:p>
        </w:tc>
        <w:tc>
          <w:tcPr>
            <w:tcW w:w="1169"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175333</w:t>
            </w:r>
          </w:p>
        </w:tc>
        <w:tc>
          <w:tcPr>
            <w:tcW w:w="591"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3,2</w:t>
            </w:r>
          </w:p>
        </w:tc>
      </w:tr>
      <w:tr w:rsidR="00332909" w:rsidTr="00332909">
        <w:trPr>
          <w:trHeight w:val="300"/>
        </w:trPr>
        <w:tc>
          <w:tcPr>
            <w:tcW w:w="3412" w:type="dxa"/>
            <w:tcBorders>
              <w:top w:val="nil"/>
              <w:left w:val="single" w:sz="8"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Školský vek povinný (6-9 rok. )</w:t>
            </w:r>
          </w:p>
        </w:tc>
        <w:tc>
          <w:tcPr>
            <w:tcW w:w="912"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3595</w:t>
            </w:r>
          </w:p>
        </w:tc>
        <w:tc>
          <w:tcPr>
            <w:tcW w:w="736"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4,6</w:t>
            </w:r>
          </w:p>
        </w:tc>
        <w:tc>
          <w:tcPr>
            <w:tcW w:w="1121"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40077</w:t>
            </w:r>
          </w:p>
        </w:tc>
        <w:tc>
          <w:tcPr>
            <w:tcW w:w="659"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4,9</w:t>
            </w:r>
          </w:p>
        </w:tc>
        <w:tc>
          <w:tcPr>
            <w:tcW w:w="1169"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227315</w:t>
            </w:r>
          </w:p>
        </w:tc>
        <w:tc>
          <w:tcPr>
            <w:tcW w:w="591"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4,2</w:t>
            </w:r>
          </w:p>
        </w:tc>
      </w:tr>
      <w:tr w:rsidR="00332909" w:rsidTr="00332909">
        <w:trPr>
          <w:trHeight w:val="300"/>
        </w:trPr>
        <w:tc>
          <w:tcPr>
            <w:tcW w:w="3412" w:type="dxa"/>
            <w:tcBorders>
              <w:top w:val="nil"/>
              <w:left w:val="single" w:sz="8"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Školský vek povinný (10-14 rok.)</w:t>
            </w:r>
          </w:p>
        </w:tc>
        <w:tc>
          <w:tcPr>
            <w:tcW w:w="912"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4553</w:t>
            </w:r>
          </w:p>
        </w:tc>
        <w:tc>
          <w:tcPr>
            <w:tcW w:w="736"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5,9</w:t>
            </w:r>
          </w:p>
        </w:tc>
        <w:tc>
          <w:tcPr>
            <w:tcW w:w="1121"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47995</w:t>
            </w:r>
          </w:p>
        </w:tc>
        <w:tc>
          <w:tcPr>
            <w:tcW w:w="659"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5,8</w:t>
            </w:r>
          </w:p>
        </w:tc>
        <w:tc>
          <w:tcPr>
            <w:tcW w:w="1169"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263584</w:t>
            </w:r>
          </w:p>
        </w:tc>
        <w:tc>
          <w:tcPr>
            <w:tcW w:w="591"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4,9</w:t>
            </w:r>
          </w:p>
        </w:tc>
      </w:tr>
      <w:tr w:rsidR="00332909" w:rsidTr="00332909">
        <w:trPr>
          <w:trHeight w:val="300"/>
        </w:trPr>
        <w:tc>
          <w:tcPr>
            <w:tcW w:w="3412" w:type="dxa"/>
            <w:tcBorders>
              <w:top w:val="nil"/>
              <w:left w:val="single" w:sz="8"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Produktívny vek (15-64 rok.)</w:t>
            </w:r>
          </w:p>
        </w:tc>
        <w:tc>
          <w:tcPr>
            <w:tcW w:w="912"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54109</w:t>
            </w:r>
          </w:p>
        </w:tc>
        <w:tc>
          <w:tcPr>
            <w:tcW w:w="736"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69,6</w:t>
            </w:r>
          </w:p>
        </w:tc>
        <w:tc>
          <w:tcPr>
            <w:tcW w:w="1121"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569776</w:t>
            </w:r>
          </w:p>
        </w:tc>
        <w:tc>
          <w:tcPr>
            <w:tcW w:w="659"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69,4</w:t>
            </w:r>
          </w:p>
        </w:tc>
        <w:tc>
          <w:tcPr>
            <w:tcW w:w="1169"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3795365</w:t>
            </w:r>
          </w:p>
        </w:tc>
        <w:tc>
          <w:tcPr>
            <w:tcW w:w="591"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69,9</w:t>
            </w:r>
          </w:p>
        </w:tc>
      </w:tr>
      <w:tr w:rsidR="00332909" w:rsidTr="00332909">
        <w:trPr>
          <w:trHeight w:val="300"/>
        </w:trPr>
        <w:tc>
          <w:tcPr>
            <w:tcW w:w="3412" w:type="dxa"/>
            <w:tcBorders>
              <w:top w:val="nil"/>
              <w:left w:val="single" w:sz="8" w:space="0" w:color="auto"/>
              <w:bottom w:val="nil"/>
              <w:right w:val="nil"/>
            </w:tcBorders>
            <w:noWrap/>
            <w:vAlign w:val="bottom"/>
            <w:hideMark/>
          </w:tcPr>
          <w:p w:rsidR="00332909" w:rsidRDefault="00332909">
            <w:pPr>
              <w:spacing w:after="0" w:line="240" w:lineRule="auto"/>
              <w:jc w:val="left"/>
              <w:rPr>
                <w:rFonts w:eastAsia="Times New Roman" w:cs="Times New Roman"/>
                <w:color w:val="000000"/>
                <w:lang w:eastAsia="sk-SK"/>
              </w:rPr>
            </w:pPr>
            <w:r>
              <w:rPr>
                <w:rFonts w:eastAsia="Times New Roman" w:cs="Times New Roman"/>
                <w:color w:val="000000"/>
                <w:lang w:eastAsia="sk-SK"/>
              </w:rPr>
              <w:t>Poproduktívny vek (65 – a viac rok.)</w:t>
            </w:r>
          </w:p>
        </w:tc>
        <w:tc>
          <w:tcPr>
            <w:tcW w:w="912"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10353</w:t>
            </w:r>
          </w:p>
        </w:tc>
        <w:tc>
          <w:tcPr>
            <w:tcW w:w="736"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13,3</w:t>
            </w:r>
          </w:p>
        </w:tc>
        <w:tc>
          <w:tcPr>
            <w:tcW w:w="1121"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104868</w:t>
            </w:r>
          </w:p>
        </w:tc>
        <w:tc>
          <w:tcPr>
            <w:tcW w:w="659" w:type="dxa"/>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12,8</w:t>
            </w:r>
          </w:p>
        </w:tc>
        <w:tc>
          <w:tcPr>
            <w:tcW w:w="1169" w:type="dxa"/>
            <w:tcBorders>
              <w:top w:val="nil"/>
              <w:left w:val="single" w:sz="8" w:space="0" w:color="auto"/>
              <w:bottom w:val="nil"/>
              <w:right w:val="nil"/>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799298</w:t>
            </w:r>
          </w:p>
        </w:tc>
        <w:tc>
          <w:tcPr>
            <w:tcW w:w="591" w:type="dxa"/>
            <w:tcBorders>
              <w:top w:val="nil"/>
              <w:left w:val="nil"/>
              <w:bottom w:val="nil"/>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14,7</w:t>
            </w:r>
          </w:p>
        </w:tc>
      </w:tr>
      <w:tr w:rsidR="00332909" w:rsidTr="00332909">
        <w:trPr>
          <w:trHeight w:val="315"/>
        </w:trPr>
        <w:tc>
          <w:tcPr>
            <w:tcW w:w="3412" w:type="dxa"/>
            <w:tcBorders>
              <w:top w:val="nil"/>
              <w:left w:val="single" w:sz="8" w:space="0" w:color="auto"/>
              <w:bottom w:val="single" w:sz="8" w:space="0" w:color="auto"/>
              <w:right w:val="single" w:sz="8" w:space="0" w:color="auto"/>
            </w:tcBorders>
            <w:noWrap/>
            <w:vAlign w:val="bottom"/>
            <w:hideMark/>
          </w:tcPr>
          <w:p w:rsidR="00332909" w:rsidRDefault="00332909">
            <w:pPr>
              <w:spacing w:after="0" w:line="240" w:lineRule="auto"/>
              <w:jc w:val="left"/>
              <w:rPr>
                <w:rFonts w:ascii="Calibri" w:eastAsia="Times New Roman" w:hAnsi="Calibri" w:cs="Calibri"/>
                <w:color w:val="000000"/>
                <w:lang w:eastAsia="sk-SK"/>
              </w:rPr>
            </w:pPr>
            <w:r>
              <w:rPr>
                <w:rFonts w:ascii="Calibri" w:eastAsia="Times New Roman" w:hAnsi="Calibri" w:cs="Calibri"/>
                <w:color w:val="000000"/>
                <w:lang w:eastAsia="sk-SK"/>
              </w:rPr>
              <w:t>Priemerný vek v rokoch</w:t>
            </w:r>
          </w:p>
        </w:tc>
        <w:tc>
          <w:tcPr>
            <w:tcW w:w="912" w:type="dxa"/>
            <w:tcBorders>
              <w:top w:val="nil"/>
              <w:left w:val="nil"/>
              <w:bottom w:val="single" w:sz="8" w:space="0" w:color="auto"/>
              <w:right w:val="nil"/>
            </w:tcBorders>
            <w:noWrap/>
            <w:vAlign w:val="bottom"/>
            <w:hideMark/>
          </w:tcPr>
          <w:p w:rsidR="00332909" w:rsidRDefault="00332909">
            <w:pPr>
              <w:spacing w:after="0" w:line="240" w:lineRule="auto"/>
              <w:jc w:val="right"/>
              <w:rPr>
                <w:rFonts w:ascii="Calibri" w:eastAsia="Times New Roman" w:hAnsi="Calibri" w:cs="Calibri"/>
                <w:color w:val="000000"/>
                <w:lang w:eastAsia="sk-SK"/>
              </w:rPr>
            </w:pPr>
            <w:r>
              <w:rPr>
                <w:rFonts w:ascii="Calibri" w:eastAsia="Times New Roman" w:hAnsi="Calibri" w:cs="Calibri"/>
                <w:color w:val="000000"/>
                <w:lang w:eastAsia="sk-SK"/>
              </w:rPr>
              <w:t>38,6</w:t>
            </w:r>
          </w:p>
        </w:tc>
        <w:tc>
          <w:tcPr>
            <w:tcW w:w="736" w:type="dxa"/>
            <w:tcBorders>
              <w:top w:val="nil"/>
              <w:left w:val="nil"/>
              <w:bottom w:val="single" w:sz="8" w:space="0" w:color="auto"/>
              <w:right w:val="single" w:sz="8" w:space="0" w:color="auto"/>
            </w:tcBorders>
            <w:noWrap/>
            <w:vAlign w:val="bottom"/>
            <w:hideMark/>
          </w:tcPr>
          <w:p w:rsidR="00332909" w:rsidRDefault="00332909">
            <w:pPr>
              <w:spacing w:after="0" w:line="240" w:lineRule="auto"/>
              <w:jc w:val="right"/>
              <w:rPr>
                <w:rFonts w:ascii="Calibri" w:eastAsia="Times New Roman" w:hAnsi="Calibri" w:cs="Calibri"/>
                <w:color w:val="000000"/>
                <w:lang w:eastAsia="sk-SK"/>
              </w:rPr>
            </w:pPr>
            <w:r>
              <w:rPr>
                <w:rFonts w:ascii="Calibri" w:eastAsia="Times New Roman" w:hAnsi="Calibri" w:cs="Calibri"/>
                <w:color w:val="000000"/>
                <w:lang w:eastAsia="sk-SK"/>
              </w:rPr>
              <w:t> </w:t>
            </w:r>
          </w:p>
        </w:tc>
        <w:tc>
          <w:tcPr>
            <w:tcW w:w="1121" w:type="dxa"/>
            <w:tcBorders>
              <w:top w:val="nil"/>
              <w:left w:val="nil"/>
              <w:bottom w:val="single" w:sz="8" w:space="0" w:color="auto"/>
              <w:right w:val="nil"/>
            </w:tcBorders>
            <w:noWrap/>
            <w:vAlign w:val="bottom"/>
            <w:hideMark/>
          </w:tcPr>
          <w:p w:rsidR="00332909" w:rsidRDefault="00332909">
            <w:pPr>
              <w:spacing w:after="0" w:line="240" w:lineRule="auto"/>
              <w:jc w:val="right"/>
              <w:rPr>
                <w:rFonts w:ascii="Calibri" w:eastAsia="Times New Roman" w:hAnsi="Calibri" w:cs="Calibri"/>
                <w:color w:val="000000"/>
                <w:lang w:eastAsia="sk-SK"/>
              </w:rPr>
            </w:pPr>
            <w:r>
              <w:rPr>
                <w:rFonts w:ascii="Calibri" w:eastAsia="Times New Roman" w:hAnsi="Calibri" w:cs="Calibri"/>
                <w:color w:val="000000"/>
                <w:lang w:eastAsia="sk-SK"/>
              </w:rPr>
              <w:t>38,1</w:t>
            </w:r>
          </w:p>
        </w:tc>
        <w:tc>
          <w:tcPr>
            <w:tcW w:w="659" w:type="dxa"/>
            <w:tcBorders>
              <w:top w:val="nil"/>
              <w:left w:val="nil"/>
              <w:bottom w:val="single" w:sz="8" w:space="0" w:color="auto"/>
              <w:right w:val="nil"/>
            </w:tcBorders>
            <w:noWrap/>
            <w:vAlign w:val="bottom"/>
            <w:hideMark/>
          </w:tcPr>
          <w:p w:rsidR="00332909" w:rsidRDefault="00332909">
            <w:pPr>
              <w:spacing w:after="0" w:line="240" w:lineRule="auto"/>
              <w:jc w:val="right"/>
              <w:rPr>
                <w:rFonts w:ascii="Calibri" w:eastAsia="Times New Roman" w:hAnsi="Calibri" w:cs="Calibri"/>
                <w:color w:val="000000"/>
                <w:lang w:eastAsia="sk-SK"/>
              </w:rPr>
            </w:pPr>
            <w:r>
              <w:rPr>
                <w:rFonts w:ascii="Calibri" w:eastAsia="Times New Roman" w:hAnsi="Calibri" w:cs="Calibri"/>
                <w:color w:val="000000"/>
                <w:lang w:eastAsia="sk-SK"/>
              </w:rPr>
              <w:t> </w:t>
            </w:r>
          </w:p>
        </w:tc>
        <w:tc>
          <w:tcPr>
            <w:tcW w:w="1169" w:type="dxa"/>
            <w:tcBorders>
              <w:top w:val="nil"/>
              <w:left w:val="single" w:sz="8" w:space="0" w:color="auto"/>
              <w:bottom w:val="single" w:sz="8" w:space="0" w:color="auto"/>
              <w:right w:val="nil"/>
            </w:tcBorders>
            <w:noWrap/>
            <w:vAlign w:val="bottom"/>
            <w:hideMark/>
          </w:tcPr>
          <w:p w:rsidR="00332909" w:rsidRDefault="00332909">
            <w:pPr>
              <w:spacing w:after="0" w:line="240" w:lineRule="auto"/>
              <w:jc w:val="right"/>
              <w:rPr>
                <w:rFonts w:ascii="Calibri" w:eastAsia="Times New Roman" w:hAnsi="Calibri" w:cs="Calibri"/>
                <w:color w:val="000000"/>
                <w:lang w:eastAsia="sk-SK"/>
              </w:rPr>
            </w:pPr>
            <w:r>
              <w:rPr>
                <w:rFonts w:ascii="Calibri" w:eastAsia="Times New Roman" w:hAnsi="Calibri" w:cs="Calibri"/>
                <w:color w:val="000000"/>
                <w:lang w:eastAsia="sk-SK"/>
              </w:rPr>
              <w:t>40,04</w:t>
            </w:r>
          </w:p>
        </w:tc>
        <w:tc>
          <w:tcPr>
            <w:tcW w:w="591" w:type="dxa"/>
            <w:tcBorders>
              <w:top w:val="nil"/>
              <w:left w:val="nil"/>
              <w:bottom w:val="single" w:sz="8" w:space="0" w:color="auto"/>
              <w:right w:val="single" w:sz="8" w:space="0" w:color="auto"/>
            </w:tcBorders>
            <w:noWrap/>
            <w:vAlign w:val="bottom"/>
            <w:hideMark/>
          </w:tcPr>
          <w:p w:rsidR="00332909" w:rsidRDefault="00332909">
            <w:pPr>
              <w:spacing w:after="0" w:line="240" w:lineRule="auto"/>
              <w:jc w:val="center"/>
              <w:rPr>
                <w:rFonts w:ascii="Calibri" w:eastAsia="Times New Roman" w:hAnsi="Calibri" w:cs="Calibri"/>
                <w:color w:val="000000"/>
                <w:lang w:eastAsia="sk-SK"/>
              </w:rPr>
            </w:pPr>
            <w:r>
              <w:rPr>
                <w:rFonts w:ascii="Calibri" w:eastAsia="Times New Roman" w:hAnsi="Calibri" w:cs="Calibri"/>
                <w:color w:val="000000"/>
                <w:lang w:eastAsia="sk-SK"/>
              </w:rPr>
              <w:t> </w:t>
            </w:r>
          </w:p>
        </w:tc>
      </w:tr>
    </w:tbl>
    <w:p w:rsidR="00332909" w:rsidRDefault="00332909" w:rsidP="00332909">
      <w:pPr>
        <w:spacing w:before="120"/>
        <w:rPr>
          <w:rFonts w:cs="Times New Roman"/>
          <w:sz w:val="20"/>
        </w:rPr>
      </w:pPr>
      <w:r>
        <w:rPr>
          <w:rFonts w:cs="Times New Roman"/>
          <w:sz w:val="20"/>
        </w:rPr>
        <w:t>Zdroj: ŠÚ SR, databáza DATAcube, Demografia a sociálne štatistiky, apríl 2016</w:t>
      </w:r>
    </w:p>
    <w:tbl>
      <w:tblPr>
        <w:tblStyle w:val="Mriekatabuky"/>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940"/>
        <w:gridCol w:w="4760"/>
      </w:tblGrid>
      <w:tr w:rsidR="00332909" w:rsidTr="00332909">
        <w:trPr>
          <w:trHeight w:val="3297"/>
        </w:trPr>
        <w:tc>
          <w:tcPr>
            <w:tcW w:w="4910" w:type="dxa"/>
            <w:hideMark/>
          </w:tcPr>
          <w:p w:rsidR="00332909" w:rsidRDefault="00332909">
            <w:pPr>
              <w:pStyle w:val="Popis"/>
              <w:keepNext/>
              <w:spacing w:after="0" w:line="276" w:lineRule="auto"/>
              <w:rPr>
                <w:rFonts w:cs="Times New Roman"/>
                <w:i w:val="0"/>
                <w:color w:val="auto"/>
                <w:sz w:val="20"/>
                <w:szCs w:val="22"/>
              </w:rPr>
            </w:pPr>
            <w:bookmarkStart w:id="11" w:name="_Ref488651775"/>
            <w:r>
              <w:rPr>
                <w:rFonts w:cs="Times New Roman"/>
                <w:i w:val="0"/>
                <w:color w:val="auto"/>
                <w:sz w:val="20"/>
                <w:szCs w:val="22"/>
              </w:rPr>
              <w:lastRenderedPageBreak/>
              <w:t xml:space="preserve">Graf </w:t>
            </w:r>
            <w:r w:rsidR="0032346A">
              <w:fldChar w:fldCharType="begin"/>
            </w:r>
            <w:r>
              <w:rPr>
                <w:rFonts w:cs="Times New Roman"/>
                <w:i w:val="0"/>
                <w:color w:val="auto"/>
                <w:sz w:val="20"/>
                <w:szCs w:val="22"/>
              </w:rPr>
              <w:instrText xml:space="preserve"> SEQ Graf \* ARABIC </w:instrText>
            </w:r>
            <w:r w:rsidR="0032346A">
              <w:fldChar w:fldCharType="separate"/>
            </w:r>
            <w:r w:rsidR="005922EB">
              <w:rPr>
                <w:rFonts w:cs="Times New Roman"/>
                <w:i w:val="0"/>
                <w:noProof/>
                <w:color w:val="auto"/>
                <w:sz w:val="20"/>
                <w:szCs w:val="22"/>
              </w:rPr>
              <w:t>1</w:t>
            </w:r>
            <w:r w:rsidR="0032346A">
              <w:fldChar w:fldCharType="end"/>
            </w:r>
            <w:bookmarkEnd w:id="11"/>
            <w:r>
              <w:rPr>
                <w:rFonts w:cs="Times New Roman"/>
                <w:i w:val="0"/>
                <w:color w:val="auto"/>
                <w:sz w:val="20"/>
                <w:szCs w:val="22"/>
              </w:rPr>
              <w:t xml:space="preserve"> Počet narodených detí v okrese Bardejov</w:t>
            </w:r>
          </w:p>
          <w:p w:rsidR="00332909" w:rsidRDefault="00332909">
            <w:pPr>
              <w:spacing w:line="276" w:lineRule="auto"/>
              <w:rPr>
                <w:rFonts w:cs="Times New Roman"/>
                <w:sz w:val="20"/>
              </w:rPr>
            </w:pPr>
            <w:r>
              <w:rPr>
                <w:rFonts w:cs="Times New Roman"/>
                <w:noProof/>
                <w:sz w:val="20"/>
                <w:lang w:eastAsia="sk-SK"/>
              </w:rPr>
              <w:drawing>
                <wp:inline distT="0" distB="0" distL="0" distR="0" wp14:anchorId="5A6FB70A" wp14:editId="0ACDDA52">
                  <wp:extent cx="3036570" cy="2312035"/>
                  <wp:effectExtent l="0" t="0" r="11430" b="12065"/>
                  <wp:docPr id="3"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4700" w:type="dxa"/>
            <w:hideMark/>
          </w:tcPr>
          <w:p w:rsidR="00332909" w:rsidRDefault="00332909">
            <w:pPr>
              <w:pStyle w:val="Popis"/>
              <w:keepNext/>
              <w:spacing w:after="0" w:line="276" w:lineRule="auto"/>
              <w:rPr>
                <w:rFonts w:cs="Times New Roman"/>
                <w:i w:val="0"/>
                <w:color w:val="auto"/>
                <w:sz w:val="20"/>
                <w:szCs w:val="22"/>
              </w:rPr>
            </w:pPr>
            <w:bookmarkStart w:id="12" w:name="_Ref488651791"/>
            <w:r>
              <w:rPr>
                <w:rFonts w:cs="Times New Roman"/>
                <w:i w:val="0"/>
                <w:color w:val="auto"/>
                <w:sz w:val="20"/>
                <w:szCs w:val="22"/>
              </w:rPr>
              <w:t xml:space="preserve">Graf </w:t>
            </w:r>
            <w:r w:rsidR="0032346A">
              <w:fldChar w:fldCharType="begin"/>
            </w:r>
            <w:r>
              <w:rPr>
                <w:rFonts w:cs="Times New Roman"/>
                <w:i w:val="0"/>
                <w:color w:val="auto"/>
                <w:sz w:val="20"/>
                <w:szCs w:val="22"/>
              </w:rPr>
              <w:instrText xml:space="preserve"> SEQ Graf \* ARABIC </w:instrText>
            </w:r>
            <w:r w:rsidR="0032346A">
              <w:fldChar w:fldCharType="separate"/>
            </w:r>
            <w:r w:rsidR="005922EB">
              <w:rPr>
                <w:rFonts w:cs="Times New Roman"/>
                <w:i w:val="0"/>
                <w:noProof/>
                <w:color w:val="auto"/>
                <w:sz w:val="20"/>
                <w:szCs w:val="22"/>
              </w:rPr>
              <w:t>2</w:t>
            </w:r>
            <w:r w:rsidR="0032346A">
              <w:fldChar w:fldCharType="end"/>
            </w:r>
            <w:bookmarkEnd w:id="12"/>
            <w:r>
              <w:rPr>
                <w:rFonts w:cs="Times New Roman"/>
                <w:i w:val="0"/>
                <w:color w:val="auto"/>
                <w:sz w:val="20"/>
                <w:szCs w:val="22"/>
              </w:rPr>
              <w:t xml:space="preserve"> Migračné saldo okresu Bardejov</w:t>
            </w:r>
          </w:p>
          <w:p w:rsidR="00332909" w:rsidRDefault="00332909">
            <w:pPr>
              <w:spacing w:line="276" w:lineRule="auto"/>
              <w:jc w:val="center"/>
              <w:rPr>
                <w:rFonts w:cs="Times New Roman"/>
                <w:sz w:val="20"/>
              </w:rPr>
            </w:pPr>
            <w:r>
              <w:rPr>
                <w:rFonts w:cs="Times New Roman"/>
                <w:noProof/>
                <w:sz w:val="20"/>
                <w:lang w:eastAsia="sk-SK"/>
              </w:rPr>
              <w:drawing>
                <wp:inline distT="0" distB="0" distL="0" distR="0" wp14:anchorId="4EDF81D3" wp14:editId="6F8465C0">
                  <wp:extent cx="2907030" cy="2312035"/>
                  <wp:effectExtent l="0" t="0" r="26670" b="12065"/>
                  <wp:docPr id="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32909" w:rsidRDefault="00332909" w:rsidP="00332909">
      <w:pPr>
        <w:rPr>
          <w:rFonts w:cs="Times New Roman"/>
          <w:sz w:val="20"/>
        </w:rPr>
      </w:pPr>
      <w:r>
        <w:rPr>
          <w:rFonts w:cs="Times New Roman"/>
          <w:sz w:val="20"/>
        </w:rPr>
        <w:t>Zdroj: Zdroj: ŠÚ SR, databáza DATAcube, Demografia a sociálne štatistiky</w:t>
      </w:r>
    </w:p>
    <w:p w:rsidR="00332909" w:rsidRDefault="00332909" w:rsidP="00332909">
      <w:pPr>
        <w:rPr>
          <w:rFonts w:cs="Times New Roman"/>
        </w:rPr>
      </w:pPr>
      <w:r>
        <w:rPr>
          <w:rFonts w:cs="Times New Roman"/>
          <w:b/>
        </w:rPr>
        <w:t>Štruktúra obyvateľstva podľa ukončeného vzdelania je porovnateľná so štruktúrou Prešovského kraja</w:t>
      </w:r>
      <w:r>
        <w:rPr>
          <w:rFonts w:cs="Times New Roman"/>
        </w:rPr>
        <w:t xml:space="preserve">. Mierne nepriaznivé údaje vykazuje okres v skupinách obyvateľstva, ktoré majú nižšie stupne alebo sú bez základného stupňa vzdelania. Porovnanie údajov za okres, kraj a celé Slovensko poskytuje </w:t>
      </w:r>
      <w:r w:rsidRPr="00B55BF9">
        <w:rPr>
          <w:rFonts w:cs="Times New Roman"/>
        </w:rPr>
        <w:t>(</w:t>
      </w:r>
      <w:r w:rsidR="00031D76">
        <w:fldChar w:fldCharType="begin"/>
      </w:r>
      <w:r w:rsidR="00031D76">
        <w:instrText xml:space="preserve"> REF _Ref488518459 \h  \* MERGEFORMAT </w:instrText>
      </w:r>
      <w:r w:rsidR="00031D76">
        <w:fldChar w:fldCharType="separate"/>
      </w:r>
      <w:r w:rsidR="005922EB" w:rsidRPr="005922EB">
        <w:rPr>
          <w:rFonts w:cs="Times New Roman"/>
        </w:rPr>
        <w:t xml:space="preserve">Tab. </w:t>
      </w:r>
      <w:r w:rsidR="00031D76">
        <w:fldChar w:fldCharType="end"/>
      </w:r>
      <w:r>
        <w:t>4</w:t>
      </w:r>
      <w:r>
        <w:rPr>
          <w:rFonts w:cs="Times New Roman"/>
        </w:rPr>
        <w:t>).</w:t>
      </w:r>
    </w:p>
    <w:p w:rsidR="00332909" w:rsidRDefault="00332909" w:rsidP="00332909">
      <w:pPr>
        <w:pStyle w:val="Popis"/>
        <w:keepNext/>
        <w:spacing w:after="0" w:line="276" w:lineRule="auto"/>
        <w:rPr>
          <w:rFonts w:cs="Times New Roman"/>
          <w:color w:val="auto"/>
          <w:sz w:val="20"/>
          <w:szCs w:val="22"/>
        </w:rPr>
      </w:pPr>
      <w:bookmarkStart w:id="13" w:name="_Ref488518459"/>
      <w:r>
        <w:rPr>
          <w:rFonts w:cs="Times New Roman"/>
          <w:i w:val="0"/>
          <w:color w:val="auto"/>
          <w:sz w:val="20"/>
          <w:szCs w:val="22"/>
        </w:rPr>
        <w:t xml:space="preserve">Tab. </w:t>
      </w:r>
      <w:bookmarkEnd w:id="13"/>
      <w:r>
        <w:rPr>
          <w:rFonts w:cs="Times New Roman"/>
          <w:i w:val="0"/>
          <w:color w:val="auto"/>
          <w:sz w:val="20"/>
          <w:szCs w:val="22"/>
        </w:rPr>
        <w:t>4 Podiel obyvateľstva podľa ukončeného vzdelania (v %)</w:t>
      </w:r>
    </w:p>
    <w:tbl>
      <w:tblPr>
        <w:tblStyle w:val="Mriekatabuky"/>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61"/>
        <w:gridCol w:w="879"/>
        <w:gridCol w:w="920"/>
        <w:gridCol w:w="854"/>
        <w:gridCol w:w="954"/>
        <w:gridCol w:w="1411"/>
        <w:gridCol w:w="1277"/>
        <w:gridCol w:w="927"/>
        <w:gridCol w:w="897"/>
      </w:tblGrid>
      <w:tr w:rsidR="00332909" w:rsidTr="00332909">
        <w:tc>
          <w:tcPr>
            <w:tcW w:w="1083" w:type="dxa"/>
            <w:tcBorders>
              <w:top w:val="single" w:sz="12" w:space="0" w:color="auto"/>
              <w:left w:val="single" w:sz="12" w:space="0" w:color="auto"/>
              <w:bottom w:val="single" w:sz="12" w:space="0" w:color="auto"/>
              <w:right w:val="single" w:sz="12" w:space="0" w:color="auto"/>
            </w:tcBorders>
          </w:tcPr>
          <w:p w:rsidR="00332909" w:rsidRDefault="00332909">
            <w:pPr>
              <w:spacing w:after="0" w:line="276" w:lineRule="auto"/>
              <w:rPr>
                <w:rFonts w:cs="Times New Roman"/>
                <w:sz w:val="20"/>
              </w:rPr>
            </w:pPr>
          </w:p>
        </w:tc>
        <w:tc>
          <w:tcPr>
            <w:tcW w:w="902" w:type="dxa"/>
            <w:tcBorders>
              <w:top w:val="single" w:sz="12" w:space="0" w:color="auto"/>
              <w:left w:val="single" w:sz="12"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základné</w:t>
            </w:r>
          </w:p>
        </w:tc>
        <w:tc>
          <w:tcPr>
            <w:tcW w:w="943"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učňovské</w:t>
            </w:r>
          </w:p>
        </w:tc>
        <w:tc>
          <w:tcPr>
            <w:tcW w:w="882"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stredné odborné bez maturity</w:t>
            </w:r>
          </w:p>
        </w:tc>
        <w:tc>
          <w:tcPr>
            <w:tcW w:w="991"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úplné stredné s maturitou</w:t>
            </w:r>
          </w:p>
        </w:tc>
        <w:tc>
          <w:tcPr>
            <w:tcW w:w="2003"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vyššie odborné</w:t>
            </w:r>
          </w:p>
        </w:tc>
        <w:tc>
          <w:tcPr>
            <w:tcW w:w="521"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vysokoškolské</w:t>
            </w:r>
          </w:p>
        </w:tc>
        <w:tc>
          <w:tcPr>
            <w:tcW w:w="948"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sz w:val="18"/>
              </w:rPr>
            </w:pPr>
            <w:r>
              <w:rPr>
                <w:rFonts w:cs="Times New Roman"/>
                <w:sz w:val="18"/>
              </w:rPr>
              <w:t>bez vzdelania</w:t>
            </w:r>
          </w:p>
        </w:tc>
        <w:tc>
          <w:tcPr>
            <w:tcW w:w="907" w:type="dxa"/>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sz w:val="18"/>
              </w:rPr>
            </w:pPr>
            <w:r>
              <w:rPr>
                <w:rFonts w:cs="Times New Roman"/>
                <w:sz w:val="18"/>
              </w:rPr>
              <w:t>nezistené</w:t>
            </w:r>
          </w:p>
        </w:tc>
      </w:tr>
      <w:tr w:rsidR="00332909" w:rsidTr="00332909">
        <w:trPr>
          <w:trHeight w:val="540"/>
        </w:trPr>
        <w:tc>
          <w:tcPr>
            <w:tcW w:w="1083" w:type="dxa"/>
            <w:tcBorders>
              <w:top w:val="single" w:sz="12"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sz w:val="20"/>
              </w:rPr>
            </w:pPr>
            <w:r>
              <w:rPr>
                <w:rFonts w:cs="Times New Roman"/>
                <w:sz w:val="20"/>
              </w:rPr>
              <w:t>Slovenská republika</w:t>
            </w:r>
          </w:p>
        </w:tc>
        <w:tc>
          <w:tcPr>
            <w:tcW w:w="902" w:type="dxa"/>
            <w:tcBorders>
              <w:top w:val="single" w:sz="12"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15,0</w:t>
            </w:r>
          </w:p>
        </w:tc>
        <w:tc>
          <w:tcPr>
            <w:tcW w:w="943"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13,4</w:t>
            </w:r>
          </w:p>
        </w:tc>
        <w:tc>
          <w:tcPr>
            <w:tcW w:w="882"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9,7</w:t>
            </w:r>
          </w:p>
        </w:tc>
        <w:tc>
          <w:tcPr>
            <w:tcW w:w="991"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28,1</w:t>
            </w:r>
          </w:p>
        </w:tc>
        <w:tc>
          <w:tcPr>
            <w:tcW w:w="2003"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1,5</w:t>
            </w:r>
          </w:p>
        </w:tc>
        <w:tc>
          <w:tcPr>
            <w:tcW w:w="521"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13,9</w:t>
            </w:r>
          </w:p>
        </w:tc>
        <w:tc>
          <w:tcPr>
            <w:tcW w:w="948"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15,7</w:t>
            </w:r>
          </w:p>
        </w:tc>
        <w:tc>
          <w:tcPr>
            <w:tcW w:w="907"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sz w:val="20"/>
              </w:rPr>
            </w:pPr>
            <w:r>
              <w:rPr>
                <w:rFonts w:cs="Times New Roman"/>
                <w:sz w:val="20"/>
              </w:rPr>
              <w:t>2,8</w:t>
            </w:r>
          </w:p>
        </w:tc>
      </w:tr>
      <w:tr w:rsidR="00332909" w:rsidTr="00332909">
        <w:tc>
          <w:tcPr>
            <w:tcW w:w="1083"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sz w:val="20"/>
              </w:rPr>
            </w:pPr>
            <w:r>
              <w:rPr>
                <w:rFonts w:cs="Times New Roman"/>
                <w:sz w:val="20"/>
              </w:rPr>
              <w:t>Prešovský kraj</w:t>
            </w:r>
          </w:p>
        </w:tc>
        <w:tc>
          <w:tcPr>
            <w:tcW w:w="902"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17,0</w:t>
            </w:r>
          </w:p>
        </w:tc>
        <w:tc>
          <w:tcPr>
            <w:tcW w:w="943"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12,8</w:t>
            </w:r>
          </w:p>
        </w:tc>
        <w:tc>
          <w:tcPr>
            <w:tcW w:w="882"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8,9</w:t>
            </w:r>
          </w:p>
        </w:tc>
        <w:tc>
          <w:tcPr>
            <w:tcW w:w="991"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26,4</w:t>
            </w:r>
          </w:p>
        </w:tc>
        <w:tc>
          <w:tcPr>
            <w:tcW w:w="2003"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1,2</w:t>
            </w:r>
          </w:p>
        </w:tc>
        <w:tc>
          <w:tcPr>
            <w:tcW w:w="521"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11,7</w:t>
            </w:r>
          </w:p>
        </w:tc>
        <w:tc>
          <w:tcPr>
            <w:tcW w:w="948"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19,0</w:t>
            </w:r>
          </w:p>
        </w:tc>
        <w:tc>
          <w:tcPr>
            <w:tcW w:w="907"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sz w:val="20"/>
              </w:rPr>
            </w:pPr>
            <w:r>
              <w:rPr>
                <w:rFonts w:cs="Times New Roman"/>
                <w:sz w:val="20"/>
              </w:rPr>
              <w:t>3,0</w:t>
            </w:r>
          </w:p>
        </w:tc>
      </w:tr>
      <w:tr w:rsidR="00332909" w:rsidTr="00332909">
        <w:tc>
          <w:tcPr>
            <w:tcW w:w="1083" w:type="dxa"/>
            <w:tcBorders>
              <w:top w:val="single" w:sz="4" w:space="0" w:color="auto"/>
              <w:left w:val="single" w:sz="12" w:space="0" w:color="auto"/>
              <w:bottom w:val="single" w:sz="12" w:space="0" w:color="auto"/>
              <w:right w:val="single" w:sz="12" w:space="0" w:color="auto"/>
            </w:tcBorders>
            <w:hideMark/>
          </w:tcPr>
          <w:p w:rsidR="00332909" w:rsidRDefault="00332909">
            <w:pPr>
              <w:spacing w:after="0" w:line="276" w:lineRule="auto"/>
              <w:rPr>
                <w:rFonts w:cs="Times New Roman"/>
                <w:sz w:val="20"/>
              </w:rPr>
            </w:pPr>
            <w:r>
              <w:rPr>
                <w:rFonts w:cs="Times New Roman"/>
                <w:sz w:val="20"/>
              </w:rPr>
              <w:t>Okres Bardejov</w:t>
            </w:r>
          </w:p>
        </w:tc>
        <w:tc>
          <w:tcPr>
            <w:tcW w:w="902" w:type="dxa"/>
            <w:tcBorders>
              <w:top w:val="single" w:sz="4" w:space="0" w:color="auto"/>
              <w:left w:val="single" w:sz="12"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17,3</w:t>
            </w:r>
          </w:p>
        </w:tc>
        <w:tc>
          <w:tcPr>
            <w:tcW w:w="943"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13,9</w:t>
            </w:r>
          </w:p>
        </w:tc>
        <w:tc>
          <w:tcPr>
            <w:tcW w:w="882"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8,5</w:t>
            </w:r>
          </w:p>
        </w:tc>
        <w:tc>
          <w:tcPr>
            <w:tcW w:w="991"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25,1</w:t>
            </w:r>
          </w:p>
        </w:tc>
        <w:tc>
          <w:tcPr>
            <w:tcW w:w="2003"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1,0</w:t>
            </w:r>
          </w:p>
        </w:tc>
        <w:tc>
          <w:tcPr>
            <w:tcW w:w="521"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12,8</w:t>
            </w:r>
          </w:p>
        </w:tc>
        <w:tc>
          <w:tcPr>
            <w:tcW w:w="948"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sz w:val="20"/>
              </w:rPr>
            </w:pPr>
            <w:r>
              <w:rPr>
                <w:rFonts w:cs="Times New Roman"/>
                <w:sz w:val="20"/>
              </w:rPr>
              <w:t>19,4</w:t>
            </w:r>
          </w:p>
        </w:tc>
        <w:tc>
          <w:tcPr>
            <w:tcW w:w="907" w:type="dxa"/>
            <w:tcBorders>
              <w:top w:val="single" w:sz="4" w:space="0" w:color="auto"/>
              <w:left w:val="single" w:sz="4" w:space="0" w:color="auto"/>
              <w:bottom w:val="single" w:sz="12" w:space="0" w:color="auto"/>
              <w:right w:val="single" w:sz="12" w:space="0" w:color="auto"/>
            </w:tcBorders>
            <w:hideMark/>
          </w:tcPr>
          <w:p w:rsidR="00332909" w:rsidRDefault="00332909">
            <w:pPr>
              <w:spacing w:after="0" w:line="276" w:lineRule="auto"/>
              <w:jc w:val="center"/>
              <w:rPr>
                <w:rFonts w:cs="Times New Roman"/>
                <w:sz w:val="20"/>
              </w:rPr>
            </w:pPr>
            <w:r>
              <w:rPr>
                <w:rFonts w:cs="Times New Roman"/>
                <w:sz w:val="20"/>
              </w:rPr>
              <w:t>2,1</w:t>
            </w:r>
          </w:p>
        </w:tc>
      </w:tr>
    </w:tbl>
    <w:p w:rsidR="00332909" w:rsidRDefault="00332909" w:rsidP="00332909">
      <w:pPr>
        <w:spacing w:before="120"/>
        <w:rPr>
          <w:rFonts w:cs="Times New Roman"/>
          <w:sz w:val="20"/>
        </w:rPr>
      </w:pPr>
      <w:r>
        <w:rPr>
          <w:rFonts w:cs="Times New Roman"/>
          <w:sz w:val="20"/>
        </w:rPr>
        <w:t>Zdroj: ŠÚ SR, Sčítanie obyvateľov, domov a bytov 2011</w:t>
      </w:r>
    </w:p>
    <w:p w:rsidR="00332909" w:rsidRDefault="00332909" w:rsidP="006D2E6D">
      <w:pPr>
        <w:spacing w:before="120"/>
        <w:rPr>
          <w:rFonts w:cs="Times New Roman"/>
          <w:sz w:val="20"/>
        </w:rPr>
      </w:pPr>
      <w:r>
        <w:rPr>
          <w:rFonts w:cs="Times New Roman"/>
        </w:rPr>
        <w:t>Obyvatelia okresu Bardejov bývajú prevažne v individuálnych rodinných domoch. 29,8 % domácnosti je umiestnených v 21 877 bytových domoch. Prevažná väčšina týchto bytových domov je umiestnená v meste Bardejov. Bytové domy boli postavené pred viac ako dvadsiatimi piatimi rokmi, nespĺňajú energetické normy, a preto je potreba zvýšenia energetickej efektívnosti budov. Zároveň je potreba výstavby bytových jednotiek pre mladé rodiny s deťmi stredného štandardu, pre nízkopríjmové rodiny a pre MRK formou</w:t>
      </w:r>
      <w:r>
        <w:rPr>
          <w:rFonts w:cs="Times New Roman"/>
          <w:color w:val="FF0000"/>
        </w:rPr>
        <w:t xml:space="preserve"> </w:t>
      </w:r>
      <w:r>
        <w:rPr>
          <w:rFonts w:cs="Times New Roman"/>
        </w:rPr>
        <w:t>svojpomocnej výstavby. Potreba  bytov nízkeho štandardu je najmä v obciach so sústredenými MRK ako napr. obec Petrova, Raslavice, Nižný Tvarožec, Lenartov a iné. Uvedený nedostatok je dôležité riešiť aj z dôvodu, že mnohé rodinné domy príslušníci MRK často nemajú vo vlastníctve alebo nájme a nezriedka bývajú v domoch bez akéhokoľvek povolenia a v nevyhovujúcich bytových podmienkach. Nie sú prihlásení ku konkrétnemu bydlisku a takéto provizórne príbytky, poskytujú veľký priestor pre správanie vymykajúce sa bežne zaužívaným sociálnym štandardom, lokality sa často stávajú nelegálnymi skládkami odpadu, ktoré predstavujú environmentálne, zdravotné, ale aj ekonomické riziko pre obce a ich obyvateľov.</w:t>
      </w:r>
    </w:p>
    <w:p w:rsidR="00332909" w:rsidRDefault="00332909" w:rsidP="00332909">
      <w:pPr>
        <w:pStyle w:val="Nadpis2"/>
        <w:shd w:val="clear" w:color="auto" w:fill="BFBFBF" w:themeFill="background1" w:themeFillShade="BF"/>
      </w:pPr>
      <w:bookmarkStart w:id="14" w:name="_Toc511211857"/>
      <w:bookmarkStart w:id="15" w:name="_Toc517084334"/>
      <w:r>
        <w:lastRenderedPageBreak/>
        <w:t>Vývoj nezamestnanosti</w:t>
      </w:r>
      <w:bookmarkEnd w:id="14"/>
      <w:bookmarkEnd w:id="15"/>
    </w:p>
    <w:p w:rsidR="00332909" w:rsidRDefault="00332909" w:rsidP="00332909">
      <w:pPr>
        <w:rPr>
          <w:rFonts w:cs="Times New Roman"/>
          <w:b/>
        </w:rPr>
      </w:pPr>
      <w:r>
        <w:rPr>
          <w:rFonts w:cs="Times New Roman"/>
        </w:rPr>
        <w:t>Miera nezamestnanosti v období 2003 - 2016 sa vyvíjala nerovnomerne (</w:t>
      </w:r>
      <w:r w:rsidR="00031D76">
        <w:fldChar w:fldCharType="begin"/>
      </w:r>
      <w:r w:rsidR="00031D76">
        <w:instrText xml:space="preserve"> REF _Ref488516712 \h  \* MERGEFORMAT </w:instrText>
      </w:r>
      <w:r w:rsidR="00031D76">
        <w:fldChar w:fldCharType="separate"/>
      </w:r>
      <w:r w:rsidR="005922EB" w:rsidRPr="005922EB">
        <w:rPr>
          <w:rFonts w:cs="Times New Roman"/>
        </w:rPr>
        <w:t xml:space="preserve">Graf. </w:t>
      </w:r>
      <w:r w:rsidR="00031D76">
        <w:fldChar w:fldCharType="end"/>
      </w:r>
      <w:r w:rsidR="00031D76">
        <w:t>3</w:t>
      </w:r>
      <w:r>
        <w:rPr>
          <w:rFonts w:cs="Times New Roman"/>
        </w:rPr>
        <w:t xml:space="preserve">). </w:t>
      </w:r>
      <w:r>
        <w:rPr>
          <w:rFonts w:cs="Times New Roman"/>
          <w:b/>
        </w:rPr>
        <w:t xml:space="preserve">Hodnota ukazovateľa miery nezamestnanosti v roku 2016 predstavovala 16,8 %. </w:t>
      </w:r>
      <w:r>
        <w:rPr>
          <w:rFonts w:cs="Times New Roman"/>
        </w:rPr>
        <w:t>Zlomovým obdobím pre nezamestnanosť v okrese Bardejov bol rok 2009, kedy dosiahla svoje historické maximum v rámci, sledovaného obdobia. Dôvodom bola prehlbujúca sa ekonomická kríza, ktorá mala dopad aj na okres Bardejov. V roku 2013 bola miera nezamestnanosti 20,4 %, čo predstavuje druhú najvyššiu hodnotu.</w:t>
      </w:r>
    </w:p>
    <w:p w:rsidR="00332909" w:rsidRDefault="00332909" w:rsidP="00332909">
      <w:pPr>
        <w:pStyle w:val="Popis"/>
        <w:keepNext/>
        <w:spacing w:after="0" w:line="276" w:lineRule="auto"/>
        <w:rPr>
          <w:rFonts w:cs="Times New Roman"/>
          <w:i w:val="0"/>
          <w:color w:val="auto"/>
          <w:sz w:val="20"/>
          <w:szCs w:val="22"/>
        </w:rPr>
      </w:pPr>
      <w:bookmarkStart w:id="16" w:name="_Ref488516712"/>
      <w:r>
        <w:rPr>
          <w:rFonts w:cs="Times New Roman"/>
          <w:i w:val="0"/>
          <w:color w:val="auto"/>
          <w:sz w:val="20"/>
          <w:szCs w:val="22"/>
        </w:rPr>
        <w:t xml:space="preserve">Graf. </w:t>
      </w:r>
      <w:bookmarkEnd w:id="16"/>
      <w:r>
        <w:rPr>
          <w:rFonts w:cs="Times New Roman"/>
          <w:i w:val="0"/>
          <w:color w:val="auto"/>
          <w:sz w:val="20"/>
          <w:szCs w:val="22"/>
        </w:rPr>
        <w:t>3 Vývoj miery evidovanej nezamestnanosti (v %)</w:t>
      </w:r>
    </w:p>
    <w:p w:rsidR="00332909" w:rsidRDefault="00332909" w:rsidP="00332909">
      <w:pPr>
        <w:jc w:val="center"/>
        <w:rPr>
          <w:rFonts w:cs="Times New Roman"/>
        </w:rPr>
      </w:pPr>
      <w:r>
        <w:rPr>
          <w:rFonts w:cs="Times New Roman"/>
          <w:noProof/>
          <w:lang w:eastAsia="sk-SK"/>
        </w:rPr>
        <w:drawing>
          <wp:inline distT="0" distB="0" distL="0" distR="0" wp14:anchorId="2A4F2274" wp14:editId="38E98366">
            <wp:extent cx="4270375" cy="248412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0375" cy="2484120"/>
                    </a:xfrm>
                    <a:prstGeom prst="rect">
                      <a:avLst/>
                    </a:prstGeom>
                    <a:noFill/>
                    <a:ln>
                      <a:noFill/>
                    </a:ln>
                  </pic:spPr>
                </pic:pic>
              </a:graphicData>
            </a:graphic>
          </wp:inline>
        </w:drawing>
      </w:r>
    </w:p>
    <w:p w:rsidR="00332909" w:rsidRDefault="00332909" w:rsidP="00332909">
      <w:pPr>
        <w:rPr>
          <w:rFonts w:cs="Times New Roman"/>
          <w:sz w:val="20"/>
        </w:rPr>
      </w:pPr>
      <w:r>
        <w:rPr>
          <w:rFonts w:cs="Times New Roman"/>
          <w:sz w:val="20"/>
        </w:rPr>
        <w:t>Zdroj: ŠÚ SR, databáza DATAcube, Demografia a sociálne štatistiky, apríl 2016</w:t>
      </w:r>
    </w:p>
    <w:p w:rsidR="00332909" w:rsidRDefault="00332909" w:rsidP="00332909">
      <w:pPr>
        <w:rPr>
          <w:rFonts w:cs="Times New Roman"/>
        </w:rPr>
      </w:pPr>
      <w:r>
        <w:rPr>
          <w:rFonts w:cs="Times New Roman"/>
        </w:rPr>
        <w:t>V evidencii ÚPSVaR, v okrese Bardejov z hľadiska vzdelanostnej štruktúry (</w:t>
      </w:r>
      <w:r w:rsidR="00031D76">
        <w:fldChar w:fldCharType="begin"/>
      </w:r>
      <w:r w:rsidR="00031D76">
        <w:instrText xml:space="preserve"> REF _Ref488518390 \h  \* MERGEFORMAT </w:instrText>
      </w:r>
      <w:r w:rsidR="00031D76">
        <w:fldChar w:fldCharType="separate"/>
      </w:r>
      <w:r w:rsidR="005922EB" w:rsidRPr="005922EB">
        <w:rPr>
          <w:rFonts w:cs="Times New Roman"/>
        </w:rPr>
        <w:t xml:space="preserve">Tab. </w:t>
      </w:r>
      <w:r w:rsidR="00031D76">
        <w:fldChar w:fldCharType="end"/>
      </w:r>
      <w:r>
        <w:t>5</w:t>
      </w:r>
      <w:r>
        <w:rPr>
          <w:rFonts w:cs="Times New Roman"/>
        </w:rPr>
        <w:t xml:space="preserve">), tvoria najväčší podiel uchádzači s najvyšším ukončeným stredoškolským vzdelaním 58,1 %. </w:t>
      </w:r>
      <w:r>
        <w:rPr>
          <w:rFonts w:cs="Times New Roman"/>
          <w:b/>
        </w:rPr>
        <w:t>Významné zastúpenie oproti celoslovenskému priemeru, majú uchádzači o zamestnanie s neukončeným základným vzdelaním. Ich podiel je 10,8 % čo v absolútnom vyjadrení predstavuje 740 UoZ.</w:t>
      </w:r>
    </w:p>
    <w:p w:rsidR="00332909" w:rsidRDefault="00332909" w:rsidP="00332909">
      <w:pPr>
        <w:pStyle w:val="Popis"/>
        <w:keepNext/>
        <w:spacing w:after="0" w:line="276" w:lineRule="auto"/>
        <w:rPr>
          <w:rFonts w:cs="Times New Roman"/>
          <w:i w:val="0"/>
          <w:color w:val="auto"/>
          <w:sz w:val="20"/>
          <w:szCs w:val="22"/>
        </w:rPr>
      </w:pPr>
      <w:bookmarkStart w:id="17" w:name="_Ref488518390"/>
      <w:r>
        <w:rPr>
          <w:rFonts w:cs="Times New Roman"/>
          <w:i w:val="0"/>
          <w:color w:val="auto"/>
          <w:sz w:val="20"/>
          <w:szCs w:val="22"/>
        </w:rPr>
        <w:t xml:space="preserve">Tab. </w:t>
      </w:r>
      <w:bookmarkEnd w:id="17"/>
      <w:r>
        <w:rPr>
          <w:rFonts w:cs="Times New Roman"/>
          <w:i w:val="0"/>
          <w:color w:val="auto"/>
          <w:sz w:val="20"/>
          <w:szCs w:val="22"/>
        </w:rPr>
        <w:t>5  Štruktúra UoZ podľa najvyššie dosiahnutého vzdelania (v % a v absolútnych hodnotách)</w:t>
      </w:r>
    </w:p>
    <w:tbl>
      <w:tblPr>
        <w:tblStyle w:val="Mriekatabuky"/>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48"/>
        <w:gridCol w:w="971"/>
        <w:gridCol w:w="1058"/>
        <w:gridCol w:w="1068"/>
        <w:gridCol w:w="1440"/>
        <w:gridCol w:w="1390"/>
        <w:gridCol w:w="1105"/>
      </w:tblGrid>
      <w:tr w:rsidR="00332909" w:rsidTr="00332909">
        <w:tc>
          <w:tcPr>
            <w:tcW w:w="2148" w:type="dxa"/>
            <w:vMerge w:val="restart"/>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Najvyššie ukončené vzdelanie</w:t>
            </w:r>
          </w:p>
        </w:tc>
        <w:tc>
          <w:tcPr>
            <w:tcW w:w="2029" w:type="dxa"/>
            <w:gridSpan w:val="2"/>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Okres Bardejov</w:t>
            </w:r>
          </w:p>
        </w:tc>
        <w:tc>
          <w:tcPr>
            <w:tcW w:w="2508" w:type="dxa"/>
            <w:gridSpan w:val="2"/>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Prešovský samosprávny kraj</w:t>
            </w:r>
          </w:p>
        </w:tc>
        <w:tc>
          <w:tcPr>
            <w:tcW w:w="2495" w:type="dxa"/>
            <w:gridSpan w:val="2"/>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Slovensko</w:t>
            </w:r>
          </w:p>
        </w:tc>
      </w:tr>
      <w:tr w:rsidR="00332909" w:rsidTr="00332909">
        <w:tc>
          <w:tcPr>
            <w:tcW w:w="0" w:type="auto"/>
            <w:vMerge/>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jc w:val="left"/>
              <w:rPr>
                <w:rFonts w:cs="Times New Roman"/>
              </w:rPr>
            </w:pPr>
          </w:p>
        </w:tc>
        <w:tc>
          <w:tcPr>
            <w:tcW w:w="971"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058" w:type="dxa"/>
            <w:tcBorders>
              <w:top w:val="single" w:sz="12" w:space="0" w:color="auto"/>
              <w:left w:val="single" w:sz="4" w:space="0" w:color="auto"/>
              <w:bottom w:val="single" w:sz="4" w:space="0" w:color="auto"/>
              <w:right w:val="single" w:sz="4" w:space="0" w:color="auto"/>
            </w:tcBorders>
            <w:hideMark/>
          </w:tcPr>
          <w:p w:rsidR="00332909" w:rsidRDefault="00332909">
            <w:pPr>
              <w:tabs>
                <w:tab w:val="center" w:pos="421"/>
              </w:tabs>
              <w:spacing w:after="0" w:line="276" w:lineRule="auto"/>
              <w:rPr>
                <w:rFonts w:cs="Times New Roman"/>
              </w:rPr>
            </w:pPr>
            <w:r>
              <w:rPr>
                <w:rFonts w:cs="Times New Roman"/>
                <w:sz w:val="18"/>
              </w:rPr>
              <w:tab/>
            </w:r>
            <w:r>
              <w:rPr>
                <w:rFonts w:cs="Times New Roman"/>
              </w:rPr>
              <w:t>počet.</w:t>
            </w:r>
          </w:p>
        </w:tc>
        <w:tc>
          <w:tcPr>
            <w:tcW w:w="1068"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440"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počet</w:t>
            </w:r>
          </w:p>
        </w:tc>
        <w:tc>
          <w:tcPr>
            <w:tcW w:w="1390"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105"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počet</w:t>
            </w:r>
          </w:p>
        </w:tc>
      </w:tr>
      <w:tr w:rsidR="00332909" w:rsidTr="00332909">
        <w:tc>
          <w:tcPr>
            <w:tcW w:w="2148" w:type="dxa"/>
            <w:tcBorders>
              <w:top w:val="single" w:sz="12" w:space="0" w:color="auto"/>
              <w:left w:val="single" w:sz="12" w:space="0" w:color="auto"/>
              <w:bottom w:val="single" w:sz="4" w:space="0" w:color="auto"/>
              <w:right w:val="single" w:sz="12" w:space="0" w:color="auto"/>
            </w:tcBorders>
            <w:hideMark/>
          </w:tcPr>
          <w:p w:rsidR="00332909" w:rsidRDefault="00332909">
            <w:pPr>
              <w:spacing w:after="0" w:line="276" w:lineRule="auto"/>
              <w:jc w:val="left"/>
              <w:rPr>
                <w:rFonts w:cs="Times New Roman"/>
              </w:rPr>
            </w:pPr>
            <w:r>
              <w:rPr>
                <w:rFonts w:cs="Times New Roman"/>
              </w:rPr>
              <w:t>Neukončené základné</w:t>
            </w:r>
          </w:p>
        </w:tc>
        <w:tc>
          <w:tcPr>
            <w:tcW w:w="971" w:type="dxa"/>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10,8</w:t>
            </w:r>
          </w:p>
        </w:tc>
        <w:tc>
          <w:tcPr>
            <w:tcW w:w="105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740</w:t>
            </w:r>
          </w:p>
        </w:tc>
        <w:tc>
          <w:tcPr>
            <w:tcW w:w="106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10,5</w:t>
            </w:r>
          </w:p>
        </w:tc>
        <w:tc>
          <w:tcPr>
            <w:tcW w:w="1440"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6 258</w:t>
            </w:r>
          </w:p>
        </w:tc>
        <w:tc>
          <w:tcPr>
            <w:tcW w:w="1390"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5,8</w:t>
            </w:r>
          </w:p>
        </w:tc>
        <w:tc>
          <w:tcPr>
            <w:tcW w:w="1105" w:type="dxa"/>
            <w:tcBorders>
              <w:top w:val="single" w:sz="12"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14 325</w:t>
            </w:r>
          </w:p>
        </w:tc>
      </w:tr>
      <w:tr w:rsidR="00332909" w:rsidTr="00332909">
        <w:tc>
          <w:tcPr>
            <w:tcW w:w="2148"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jc w:val="left"/>
              <w:rPr>
                <w:rFonts w:cs="Times New Roman"/>
              </w:rPr>
            </w:pPr>
            <w:r>
              <w:rPr>
                <w:rFonts w:cs="Times New Roman"/>
              </w:rPr>
              <w:t>Základné</w:t>
            </w:r>
          </w:p>
        </w:tc>
        <w:tc>
          <w:tcPr>
            <w:tcW w:w="971"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23,2</w:t>
            </w:r>
          </w:p>
        </w:tc>
        <w:tc>
          <w:tcPr>
            <w:tcW w:w="105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1 589</w:t>
            </w:r>
          </w:p>
        </w:tc>
        <w:tc>
          <w:tcPr>
            <w:tcW w:w="106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30,4</w:t>
            </w:r>
          </w:p>
        </w:tc>
        <w:tc>
          <w:tcPr>
            <w:tcW w:w="14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18 209</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26,3</w:t>
            </w:r>
          </w:p>
        </w:tc>
        <w:tc>
          <w:tcPr>
            <w:tcW w:w="1105"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65 223</w:t>
            </w:r>
          </w:p>
        </w:tc>
      </w:tr>
      <w:tr w:rsidR="00332909" w:rsidTr="00332909">
        <w:tc>
          <w:tcPr>
            <w:tcW w:w="2148"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jc w:val="left"/>
              <w:rPr>
                <w:rFonts w:cs="Times New Roman"/>
              </w:rPr>
            </w:pPr>
            <w:r>
              <w:rPr>
                <w:rFonts w:cs="Times New Roman"/>
              </w:rPr>
              <w:t>Stredné</w:t>
            </w:r>
          </w:p>
        </w:tc>
        <w:tc>
          <w:tcPr>
            <w:tcW w:w="971"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58,1</w:t>
            </w:r>
          </w:p>
        </w:tc>
        <w:tc>
          <w:tcPr>
            <w:tcW w:w="105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3 978</w:t>
            </w:r>
          </w:p>
        </w:tc>
        <w:tc>
          <w:tcPr>
            <w:tcW w:w="106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51,5</w:t>
            </w:r>
          </w:p>
        </w:tc>
        <w:tc>
          <w:tcPr>
            <w:tcW w:w="14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30 841</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57,5</w:t>
            </w:r>
          </w:p>
        </w:tc>
        <w:tc>
          <w:tcPr>
            <w:tcW w:w="1105"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142 570</w:t>
            </w:r>
          </w:p>
        </w:tc>
      </w:tr>
      <w:tr w:rsidR="00332909" w:rsidTr="00332909">
        <w:trPr>
          <w:trHeight w:val="404"/>
        </w:trPr>
        <w:tc>
          <w:tcPr>
            <w:tcW w:w="2148"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jc w:val="left"/>
              <w:rPr>
                <w:rFonts w:cs="Times New Roman"/>
              </w:rPr>
            </w:pPr>
            <w:r>
              <w:rPr>
                <w:rFonts w:cs="Times New Roman"/>
              </w:rPr>
              <w:t>Vyššie a vysokoškolské</w:t>
            </w:r>
          </w:p>
        </w:tc>
        <w:tc>
          <w:tcPr>
            <w:tcW w:w="971"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7,8</w:t>
            </w:r>
          </w:p>
        </w:tc>
        <w:tc>
          <w:tcPr>
            <w:tcW w:w="105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534</w:t>
            </w:r>
          </w:p>
        </w:tc>
        <w:tc>
          <w:tcPr>
            <w:tcW w:w="106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7,6</w:t>
            </w:r>
          </w:p>
        </w:tc>
        <w:tc>
          <w:tcPr>
            <w:tcW w:w="14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4 548</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10,5</w:t>
            </w:r>
          </w:p>
        </w:tc>
        <w:tc>
          <w:tcPr>
            <w:tcW w:w="1105"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26 032</w:t>
            </w:r>
          </w:p>
        </w:tc>
      </w:tr>
      <w:tr w:rsidR="00332909" w:rsidTr="00332909">
        <w:trPr>
          <w:trHeight w:val="370"/>
        </w:trPr>
        <w:tc>
          <w:tcPr>
            <w:tcW w:w="2148" w:type="dxa"/>
            <w:tcBorders>
              <w:top w:val="single" w:sz="4" w:space="0" w:color="auto"/>
              <w:left w:val="single" w:sz="12" w:space="0" w:color="auto"/>
              <w:bottom w:val="single" w:sz="12" w:space="0" w:color="auto"/>
              <w:right w:val="single" w:sz="12" w:space="0" w:color="auto"/>
            </w:tcBorders>
            <w:vAlign w:val="bottom"/>
            <w:hideMark/>
          </w:tcPr>
          <w:p w:rsidR="00332909" w:rsidRDefault="00332909">
            <w:pPr>
              <w:spacing w:after="0" w:line="276" w:lineRule="auto"/>
              <w:jc w:val="left"/>
              <w:rPr>
                <w:rFonts w:cs="Times New Roman"/>
              </w:rPr>
            </w:pPr>
            <w:r>
              <w:rPr>
                <w:rFonts w:cs="Times New Roman"/>
              </w:rPr>
              <w:t>Spolu</w:t>
            </w:r>
          </w:p>
        </w:tc>
        <w:tc>
          <w:tcPr>
            <w:tcW w:w="971" w:type="dxa"/>
            <w:tcBorders>
              <w:top w:val="single" w:sz="4" w:space="0" w:color="auto"/>
              <w:left w:val="single" w:sz="12"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lang w:val="en-US"/>
              </w:rPr>
            </w:pPr>
            <w:r>
              <w:rPr>
                <w:rFonts w:cs="Times New Roman"/>
              </w:rPr>
              <w:t xml:space="preserve">100 </w:t>
            </w:r>
            <w:r>
              <w:rPr>
                <w:rFonts w:cs="Times New Roman"/>
                <w:lang w:val="en-US"/>
              </w:rPr>
              <w:t>%</w:t>
            </w:r>
          </w:p>
        </w:tc>
        <w:tc>
          <w:tcPr>
            <w:tcW w:w="1058"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6 841</w:t>
            </w:r>
          </w:p>
        </w:tc>
        <w:tc>
          <w:tcPr>
            <w:tcW w:w="1068"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100 %</w:t>
            </w:r>
          </w:p>
        </w:tc>
        <w:tc>
          <w:tcPr>
            <w:tcW w:w="1440"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59 856</w:t>
            </w:r>
          </w:p>
        </w:tc>
        <w:tc>
          <w:tcPr>
            <w:tcW w:w="1390"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100 %</w:t>
            </w:r>
          </w:p>
        </w:tc>
        <w:tc>
          <w:tcPr>
            <w:tcW w:w="1105" w:type="dxa"/>
            <w:tcBorders>
              <w:top w:val="single" w:sz="4" w:space="0" w:color="auto"/>
              <w:left w:val="single" w:sz="4" w:space="0" w:color="auto"/>
              <w:bottom w:val="single" w:sz="12" w:space="0" w:color="auto"/>
              <w:right w:val="single" w:sz="12" w:space="0" w:color="auto"/>
            </w:tcBorders>
            <w:vAlign w:val="bottom"/>
            <w:hideMark/>
          </w:tcPr>
          <w:p w:rsidR="00332909" w:rsidRDefault="00332909">
            <w:pPr>
              <w:spacing w:after="0" w:line="276" w:lineRule="auto"/>
              <w:jc w:val="center"/>
              <w:rPr>
                <w:rFonts w:cs="Times New Roman"/>
              </w:rPr>
            </w:pPr>
            <w:r>
              <w:rPr>
                <w:rFonts w:cs="Times New Roman"/>
              </w:rPr>
              <w:t>248 150</w:t>
            </w:r>
          </w:p>
        </w:tc>
      </w:tr>
    </w:tbl>
    <w:p w:rsidR="00332909" w:rsidRDefault="00332909" w:rsidP="00332909">
      <w:pPr>
        <w:spacing w:before="120"/>
        <w:rPr>
          <w:rFonts w:cs="Times New Roman"/>
          <w:sz w:val="20"/>
        </w:rPr>
      </w:pPr>
      <w:r>
        <w:rPr>
          <w:rFonts w:cs="Times New Roman"/>
          <w:sz w:val="20"/>
        </w:rPr>
        <w:t xml:space="preserve">Zdroj: </w:t>
      </w:r>
      <w:r>
        <w:rPr>
          <w:rFonts w:cs="Times New Roman"/>
        </w:rPr>
        <w:t>ÚPSVaR</w:t>
      </w:r>
      <w:r>
        <w:rPr>
          <w:rFonts w:cs="Times New Roman"/>
          <w:sz w:val="20"/>
        </w:rPr>
        <w:t xml:space="preserve"> - Mesačná štatistika o počte a štruktúre uchádzačov o zamestnanie, apríl 2017</w:t>
      </w:r>
    </w:p>
    <w:p w:rsidR="00332909" w:rsidRDefault="00332909" w:rsidP="00332909">
      <w:pPr>
        <w:spacing w:before="120"/>
        <w:rPr>
          <w:rFonts w:cs="Times New Roman"/>
        </w:rPr>
      </w:pPr>
      <w:r>
        <w:rPr>
          <w:rFonts w:cs="Times New Roman"/>
        </w:rPr>
        <w:t>Veľkým problémom v okrese sú dlhodobo nezamestnaní, ktorí tvoria takmer 54 % z celkového počtu uchádzačov o zamestnanie (ďalej len UoZ) evidovaných na ÚPSVaR. Ide o skupinu obyvateľstva, ktorá postupom času stráca pracovné návyky a má problém uplatniť sa na trhu práce. Bližšie informácie sú uvedené v (Tab. 6).</w:t>
      </w:r>
    </w:p>
    <w:p w:rsidR="00332909" w:rsidRDefault="00332909" w:rsidP="00332909">
      <w:pPr>
        <w:spacing w:before="120"/>
        <w:rPr>
          <w:rFonts w:cs="Times New Roman"/>
        </w:rPr>
      </w:pPr>
    </w:p>
    <w:p w:rsidR="00332909" w:rsidRPr="00B55BF9" w:rsidRDefault="00332909" w:rsidP="00332909">
      <w:pPr>
        <w:pStyle w:val="Popis"/>
        <w:keepNext/>
        <w:spacing w:after="0" w:line="276" w:lineRule="auto"/>
        <w:rPr>
          <w:rFonts w:cs="Times New Roman"/>
          <w:i w:val="0"/>
          <w:color w:val="auto"/>
          <w:sz w:val="20"/>
          <w:szCs w:val="22"/>
        </w:rPr>
      </w:pPr>
      <w:r>
        <w:rPr>
          <w:rFonts w:cs="Times New Roman"/>
          <w:i w:val="0"/>
          <w:color w:val="auto"/>
          <w:sz w:val="20"/>
          <w:szCs w:val="22"/>
        </w:rPr>
        <w:lastRenderedPageBreak/>
        <w:t>Tab. 6 Štruktúra UoZ podľa doby trvania nezamestnanosti (v % a v absolútnych hodnotách</w:t>
      </w:r>
      <w:r w:rsidRPr="00B55BF9">
        <w:rPr>
          <w:rFonts w:cs="Times New Roman"/>
          <w:i w:val="0"/>
          <w:color w:val="auto"/>
          <w:sz w:val="20"/>
          <w:szCs w:val="22"/>
        </w:rPr>
        <w:t>)</w:t>
      </w:r>
    </w:p>
    <w:tbl>
      <w:tblPr>
        <w:tblStyle w:val="Mriekatabuky"/>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70"/>
        <w:gridCol w:w="1059"/>
        <w:gridCol w:w="1161"/>
        <w:gridCol w:w="1257"/>
        <w:gridCol w:w="1342"/>
        <w:gridCol w:w="1246"/>
        <w:gridCol w:w="1445"/>
      </w:tblGrid>
      <w:tr w:rsidR="00332909" w:rsidTr="00332909">
        <w:tc>
          <w:tcPr>
            <w:tcW w:w="1670" w:type="dxa"/>
            <w:vMerge w:val="restart"/>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Trvanie nezamestnanosti</w:t>
            </w:r>
          </w:p>
        </w:tc>
        <w:tc>
          <w:tcPr>
            <w:tcW w:w="2220" w:type="dxa"/>
            <w:gridSpan w:val="2"/>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Okres Bardejov</w:t>
            </w:r>
          </w:p>
        </w:tc>
        <w:tc>
          <w:tcPr>
            <w:tcW w:w="2599" w:type="dxa"/>
            <w:gridSpan w:val="2"/>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Prešovský samosprávny kraj</w:t>
            </w:r>
          </w:p>
        </w:tc>
        <w:tc>
          <w:tcPr>
            <w:tcW w:w="2691" w:type="dxa"/>
            <w:gridSpan w:val="2"/>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Slovensko</w:t>
            </w:r>
          </w:p>
        </w:tc>
      </w:tr>
      <w:tr w:rsidR="00332909" w:rsidTr="00332909">
        <w:tc>
          <w:tcPr>
            <w:tcW w:w="0" w:type="auto"/>
            <w:vMerge/>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jc w:val="left"/>
              <w:rPr>
                <w:rFonts w:cs="Times New Roman"/>
              </w:rPr>
            </w:pPr>
          </w:p>
        </w:tc>
        <w:tc>
          <w:tcPr>
            <w:tcW w:w="1059"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w:t>
            </w:r>
          </w:p>
        </w:tc>
        <w:tc>
          <w:tcPr>
            <w:tcW w:w="1161" w:type="dxa"/>
            <w:tcBorders>
              <w:top w:val="single" w:sz="12"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počet</w:t>
            </w:r>
          </w:p>
        </w:tc>
        <w:tc>
          <w:tcPr>
            <w:tcW w:w="1257"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342"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počet</w:t>
            </w:r>
          </w:p>
        </w:tc>
        <w:tc>
          <w:tcPr>
            <w:tcW w:w="1246"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445"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počet</w:t>
            </w:r>
          </w:p>
        </w:tc>
      </w:tr>
      <w:tr w:rsidR="00332909" w:rsidTr="00332909">
        <w:tc>
          <w:tcPr>
            <w:tcW w:w="1670" w:type="dxa"/>
            <w:tcBorders>
              <w:top w:val="single" w:sz="12"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jc w:val="left"/>
              <w:rPr>
                <w:rFonts w:cs="Times New Roman"/>
              </w:rPr>
            </w:pPr>
            <w:r>
              <w:rPr>
                <w:rFonts w:cs="Times New Roman"/>
              </w:rPr>
              <w:t>Do 12 mesiacov</w:t>
            </w:r>
          </w:p>
        </w:tc>
        <w:tc>
          <w:tcPr>
            <w:tcW w:w="1059" w:type="dxa"/>
            <w:tcBorders>
              <w:top w:val="single" w:sz="12"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46,2</w:t>
            </w:r>
          </w:p>
        </w:tc>
        <w:tc>
          <w:tcPr>
            <w:tcW w:w="1161" w:type="dxa"/>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3 167</w:t>
            </w:r>
          </w:p>
        </w:tc>
        <w:tc>
          <w:tcPr>
            <w:tcW w:w="1257"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43,8</w:t>
            </w:r>
          </w:p>
        </w:tc>
        <w:tc>
          <w:tcPr>
            <w:tcW w:w="1342"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26 289</w:t>
            </w:r>
          </w:p>
        </w:tc>
        <w:tc>
          <w:tcPr>
            <w:tcW w:w="1246"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50,8</w:t>
            </w:r>
          </w:p>
        </w:tc>
        <w:tc>
          <w:tcPr>
            <w:tcW w:w="1445" w:type="dxa"/>
            <w:tcBorders>
              <w:top w:val="single" w:sz="12"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126 456</w:t>
            </w:r>
          </w:p>
        </w:tc>
      </w:tr>
      <w:tr w:rsidR="00332909" w:rsidTr="00332909">
        <w:tc>
          <w:tcPr>
            <w:tcW w:w="1670" w:type="dxa"/>
            <w:tcBorders>
              <w:top w:val="single" w:sz="4"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jc w:val="left"/>
              <w:rPr>
                <w:rFonts w:cs="Times New Roman"/>
              </w:rPr>
            </w:pPr>
            <w:r>
              <w:rPr>
                <w:rFonts w:cs="Times New Roman"/>
              </w:rPr>
              <w:t>12 až 36 mesiacov</w:t>
            </w:r>
          </w:p>
        </w:tc>
        <w:tc>
          <w:tcPr>
            <w:tcW w:w="1059"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25,3</w:t>
            </w:r>
          </w:p>
        </w:tc>
        <w:tc>
          <w:tcPr>
            <w:tcW w:w="1161"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1 735</w:t>
            </w:r>
          </w:p>
        </w:tc>
        <w:tc>
          <w:tcPr>
            <w:tcW w:w="1257"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23,1</w:t>
            </w:r>
          </w:p>
        </w:tc>
        <w:tc>
          <w:tcPr>
            <w:tcW w:w="1342"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13 873</w:t>
            </w:r>
          </w:p>
        </w:tc>
        <w:tc>
          <w:tcPr>
            <w:tcW w:w="1246"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21,2</w:t>
            </w:r>
          </w:p>
        </w:tc>
        <w:tc>
          <w:tcPr>
            <w:tcW w:w="1445"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52 725</w:t>
            </w:r>
          </w:p>
        </w:tc>
      </w:tr>
      <w:tr w:rsidR="00332909" w:rsidTr="00332909">
        <w:tc>
          <w:tcPr>
            <w:tcW w:w="1670" w:type="dxa"/>
            <w:tcBorders>
              <w:top w:val="single" w:sz="4"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jc w:val="left"/>
              <w:rPr>
                <w:rFonts w:cs="Times New Roman"/>
              </w:rPr>
            </w:pPr>
            <w:r>
              <w:rPr>
                <w:rFonts w:cs="Times New Roman"/>
              </w:rPr>
              <w:t>37 a viac mesiacov</w:t>
            </w:r>
          </w:p>
        </w:tc>
        <w:tc>
          <w:tcPr>
            <w:tcW w:w="1059"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28,4</w:t>
            </w:r>
          </w:p>
        </w:tc>
        <w:tc>
          <w:tcPr>
            <w:tcW w:w="1161"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1 946</w:t>
            </w:r>
          </w:p>
        </w:tc>
        <w:tc>
          <w:tcPr>
            <w:tcW w:w="1257"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33,0</w:t>
            </w:r>
          </w:p>
        </w:tc>
        <w:tc>
          <w:tcPr>
            <w:tcW w:w="1342"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19 812</w:t>
            </w:r>
          </w:p>
        </w:tc>
        <w:tc>
          <w:tcPr>
            <w:tcW w:w="1246"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28,0</w:t>
            </w:r>
          </w:p>
        </w:tc>
        <w:tc>
          <w:tcPr>
            <w:tcW w:w="1445"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69 572</w:t>
            </w:r>
          </w:p>
        </w:tc>
      </w:tr>
      <w:tr w:rsidR="00332909" w:rsidTr="00332909">
        <w:trPr>
          <w:trHeight w:val="406"/>
        </w:trPr>
        <w:tc>
          <w:tcPr>
            <w:tcW w:w="1670" w:type="dxa"/>
            <w:tcBorders>
              <w:top w:val="single" w:sz="4" w:space="0" w:color="auto"/>
              <w:left w:val="single" w:sz="12" w:space="0" w:color="auto"/>
              <w:bottom w:val="single" w:sz="12" w:space="0" w:color="auto"/>
              <w:right w:val="single" w:sz="12" w:space="0" w:color="auto"/>
            </w:tcBorders>
            <w:vAlign w:val="bottom"/>
            <w:hideMark/>
          </w:tcPr>
          <w:p w:rsidR="00332909" w:rsidRDefault="00332909">
            <w:pPr>
              <w:spacing w:after="0" w:line="276" w:lineRule="auto"/>
              <w:jc w:val="left"/>
              <w:rPr>
                <w:rFonts w:cs="Times New Roman"/>
              </w:rPr>
            </w:pPr>
            <w:r>
              <w:rPr>
                <w:rFonts w:cs="Times New Roman"/>
              </w:rPr>
              <w:t>Spolu</w:t>
            </w:r>
          </w:p>
        </w:tc>
        <w:tc>
          <w:tcPr>
            <w:tcW w:w="1059" w:type="dxa"/>
            <w:tcBorders>
              <w:top w:val="single" w:sz="4" w:space="0" w:color="auto"/>
              <w:left w:val="single" w:sz="4" w:space="0" w:color="auto"/>
              <w:bottom w:val="single" w:sz="12" w:space="0" w:color="auto"/>
              <w:right w:val="single" w:sz="12" w:space="0" w:color="auto"/>
            </w:tcBorders>
            <w:vAlign w:val="bottom"/>
            <w:hideMark/>
          </w:tcPr>
          <w:p w:rsidR="00332909" w:rsidRDefault="00332909">
            <w:pPr>
              <w:spacing w:after="0" w:line="276" w:lineRule="auto"/>
              <w:jc w:val="center"/>
              <w:rPr>
                <w:rFonts w:cs="Times New Roman"/>
              </w:rPr>
            </w:pPr>
            <w:r>
              <w:rPr>
                <w:rFonts w:cs="Times New Roman"/>
              </w:rPr>
              <w:t>100 %</w:t>
            </w:r>
          </w:p>
        </w:tc>
        <w:tc>
          <w:tcPr>
            <w:tcW w:w="1161" w:type="dxa"/>
            <w:tcBorders>
              <w:top w:val="single" w:sz="4" w:space="0" w:color="auto"/>
              <w:left w:val="single" w:sz="12"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6 848</w:t>
            </w:r>
          </w:p>
        </w:tc>
        <w:tc>
          <w:tcPr>
            <w:tcW w:w="1257"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100 %</w:t>
            </w:r>
          </w:p>
        </w:tc>
        <w:tc>
          <w:tcPr>
            <w:tcW w:w="1342"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59 974</w:t>
            </w:r>
          </w:p>
        </w:tc>
        <w:tc>
          <w:tcPr>
            <w:tcW w:w="1246" w:type="dxa"/>
            <w:tcBorders>
              <w:top w:val="single" w:sz="4" w:space="0" w:color="auto"/>
              <w:left w:val="single" w:sz="4" w:space="0" w:color="auto"/>
              <w:bottom w:val="single" w:sz="12" w:space="0" w:color="auto"/>
              <w:right w:val="single" w:sz="4" w:space="0" w:color="auto"/>
            </w:tcBorders>
            <w:vAlign w:val="bottom"/>
            <w:hideMark/>
          </w:tcPr>
          <w:p w:rsidR="00332909" w:rsidRDefault="00332909">
            <w:pPr>
              <w:spacing w:after="0" w:line="276" w:lineRule="auto"/>
              <w:jc w:val="center"/>
              <w:rPr>
                <w:rFonts w:cs="Times New Roman"/>
              </w:rPr>
            </w:pPr>
            <w:r>
              <w:rPr>
                <w:rFonts w:cs="Times New Roman"/>
              </w:rPr>
              <w:t>100 %</w:t>
            </w:r>
          </w:p>
        </w:tc>
        <w:tc>
          <w:tcPr>
            <w:tcW w:w="1445" w:type="dxa"/>
            <w:tcBorders>
              <w:top w:val="single" w:sz="4" w:space="0" w:color="auto"/>
              <w:left w:val="single" w:sz="4" w:space="0" w:color="auto"/>
              <w:bottom w:val="single" w:sz="12" w:space="0" w:color="auto"/>
              <w:right w:val="single" w:sz="12" w:space="0" w:color="auto"/>
            </w:tcBorders>
            <w:vAlign w:val="bottom"/>
            <w:hideMark/>
          </w:tcPr>
          <w:p w:rsidR="00332909" w:rsidRDefault="00332909">
            <w:pPr>
              <w:spacing w:after="0" w:line="276" w:lineRule="auto"/>
              <w:jc w:val="center"/>
              <w:rPr>
                <w:rFonts w:cs="Times New Roman"/>
              </w:rPr>
            </w:pPr>
            <w:r>
              <w:rPr>
                <w:rFonts w:cs="Times New Roman"/>
              </w:rPr>
              <w:t>248 753</w:t>
            </w:r>
          </w:p>
        </w:tc>
      </w:tr>
    </w:tbl>
    <w:p w:rsidR="00332909" w:rsidRDefault="00332909" w:rsidP="00332909">
      <w:pPr>
        <w:spacing w:before="120"/>
        <w:rPr>
          <w:rFonts w:cs="Times New Roman"/>
          <w:sz w:val="20"/>
        </w:rPr>
      </w:pPr>
      <w:r>
        <w:rPr>
          <w:rFonts w:cs="Times New Roman"/>
          <w:sz w:val="20"/>
        </w:rPr>
        <w:t xml:space="preserve">Zdroj: </w:t>
      </w:r>
      <w:r>
        <w:rPr>
          <w:rFonts w:cs="Times New Roman"/>
        </w:rPr>
        <w:t>ÚPSVaR</w:t>
      </w:r>
      <w:r>
        <w:rPr>
          <w:rFonts w:cs="Times New Roman"/>
          <w:sz w:val="20"/>
        </w:rPr>
        <w:t xml:space="preserve"> - Mesačná štatistika o počte a štruktúre uchádzačov o zamestnanie, apríl 2017</w:t>
      </w:r>
    </w:p>
    <w:p w:rsidR="00332909" w:rsidRDefault="00332909" w:rsidP="00332909">
      <w:pPr>
        <w:rPr>
          <w:rFonts w:cs="Times New Roman"/>
          <w:b/>
        </w:rPr>
      </w:pPr>
      <w:r>
        <w:rPr>
          <w:rFonts w:cs="Times New Roman"/>
        </w:rPr>
        <w:t xml:space="preserve">Z hľadiska vekovej štruktúry </w:t>
      </w:r>
      <w:r w:rsidRPr="00B55BF9">
        <w:rPr>
          <w:rFonts w:cs="Times New Roman"/>
        </w:rPr>
        <w:t>(Tab. 7)</w:t>
      </w:r>
      <w:r>
        <w:rPr>
          <w:rFonts w:cs="Times New Roman"/>
        </w:rPr>
        <w:t xml:space="preserve"> sa percentuálny podiel nezamestnaných čiastočne líši od slovenského priemeru v prípade mladých nezamestnaných do 25 rokov. To, že okres Bardejov sa vyznačuje relatívne mladým obyvateľstvom sa odráža aj na vekovej štruktúre nezamestnanosti: </w:t>
      </w:r>
      <w:r>
        <w:rPr>
          <w:rFonts w:cs="Times New Roman"/>
          <w:b/>
        </w:rPr>
        <w:t>mladšie vekové kategórie sú výraznejšie zastúpené, v porovnaní so slovenským priemerom, a podiel starších uchádzačov o zamestnanie je tomu zodpovedajúco nižší.</w:t>
      </w:r>
    </w:p>
    <w:p w:rsidR="00332909" w:rsidRDefault="00332909" w:rsidP="00332909">
      <w:pPr>
        <w:pStyle w:val="Popis"/>
        <w:keepNext/>
        <w:spacing w:after="0" w:line="276" w:lineRule="auto"/>
        <w:rPr>
          <w:rFonts w:cs="Times New Roman"/>
          <w:i w:val="0"/>
          <w:color w:val="auto"/>
          <w:sz w:val="20"/>
          <w:szCs w:val="22"/>
        </w:rPr>
      </w:pPr>
      <w:r>
        <w:rPr>
          <w:rFonts w:cs="Times New Roman"/>
          <w:i w:val="0"/>
          <w:color w:val="auto"/>
          <w:sz w:val="20"/>
          <w:szCs w:val="22"/>
        </w:rPr>
        <w:t>Tab. 7 Štruktúra UoZ podľa veku (v % a v absolútnych hodnotách</w:t>
      </w:r>
      <w:r w:rsidRPr="00B55BF9">
        <w:rPr>
          <w:rFonts w:cs="Times New Roman"/>
          <w:i w:val="0"/>
          <w:color w:val="auto"/>
          <w:sz w:val="20"/>
          <w:szCs w:val="22"/>
        </w:rPr>
        <w:t>)</w:t>
      </w:r>
    </w:p>
    <w:tbl>
      <w:tblPr>
        <w:tblStyle w:val="Mriekatabuky"/>
        <w:tblW w:w="9180" w:type="dxa"/>
        <w:tblInd w:w="10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701"/>
        <w:gridCol w:w="1276"/>
        <w:gridCol w:w="1134"/>
        <w:gridCol w:w="1225"/>
        <w:gridCol w:w="1064"/>
        <w:gridCol w:w="1520"/>
        <w:gridCol w:w="1260"/>
      </w:tblGrid>
      <w:tr w:rsidR="00332909" w:rsidTr="00332909">
        <w:trPr>
          <w:trHeight w:val="658"/>
        </w:trPr>
        <w:tc>
          <w:tcPr>
            <w:tcW w:w="1701" w:type="dxa"/>
            <w:vMerge w:val="restart"/>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line="276" w:lineRule="auto"/>
              <w:rPr>
                <w:rFonts w:cs="Times New Roman"/>
              </w:rPr>
            </w:pPr>
            <w:r>
              <w:rPr>
                <w:rFonts w:cs="Times New Roman"/>
              </w:rPr>
              <w:t>Vekový interval</w:t>
            </w:r>
          </w:p>
        </w:tc>
        <w:tc>
          <w:tcPr>
            <w:tcW w:w="2410" w:type="dxa"/>
            <w:gridSpan w:val="2"/>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Okres Bardejov</w:t>
            </w:r>
          </w:p>
        </w:tc>
        <w:tc>
          <w:tcPr>
            <w:tcW w:w="2289" w:type="dxa"/>
            <w:gridSpan w:val="2"/>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Prešovský samosprávny kraj</w:t>
            </w:r>
          </w:p>
        </w:tc>
        <w:tc>
          <w:tcPr>
            <w:tcW w:w="2780" w:type="dxa"/>
            <w:gridSpan w:val="2"/>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Slovensko</w:t>
            </w:r>
          </w:p>
        </w:tc>
      </w:tr>
      <w:tr w:rsidR="00332909" w:rsidTr="00332909">
        <w:trPr>
          <w:trHeight w:val="320"/>
        </w:trPr>
        <w:tc>
          <w:tcPr>
            <w:tcW w:w="1701" w:type="dxa"/>
            <w:vMerge/>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jc w:val="left"/>
              <w:rPr>
                <w:rFonts w:cs="Times New Roman"/>
              </w:rPr>
            </w:pPr>
          </w:p>
        </w:tc>
        <w:tc>
          <w:tcPr>
            <w:tcW w:w="1276"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134"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počet</w:t>
            </w:r>
          </w:p>
        </w:tc>
        <w:tc>
          <w:tcPr>
            <w:tcW w:w="1225"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064"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počet</w:t>
            </w:r>
          </w:p>
        </w:tc>
        <w:tc>
          <w:tcPr>
            <w:tcW w:w="1520"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w:t>
            </w:r>
          </w:p>
        </w:tc>
        <w:tc>
          <w:tcPr>
            <w:tcW w:w="1260"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počet</w:t>
            </w:r>
          </w:p>
        </w:tc>
      </w:tr>
      <w:tr w:rsidR="00332909" w:rsidTr="00332909">
        <w:trPr>
          <w:trHeight w:val="320"/>
        </w:trPr>
        <w:tc>
          <w:tcPr>
            <w:tcW w:w="1701" w:type="dxa"/>
            <w:tcBorders>
              <w:top w:val="single" w:sz="12"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rPr>
                <w:rFonts w:cs="Times New Roman"/>
              </w:rPr>
            </w:pPr>
            <w:r>
              <w:rPr>
                <w:rFonts w:cs="Times New Roman"/>
              </w:rPr>
              <w:t>Menej ako 25 rokov</w:t>
            </w:r>
          </w:p>
        </w:tc>
        <w:tc>
          <w:tcPr>
            <w:tcW w:w="1276" w:type="dxa"/>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18,8</w:t>
            </w:r>
          </w:p>
        </w:tc>
        <w:tc>
          <w:tcPr>
            <w:tcW w:w="1134"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1 285</w:t>
            </w:r>
          </w:p>
        </w:tc>
        <w:tc>
          <w:tcPr>
            <w:tcW w:w="1225"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16,3</w:t>
            </w:r>
          </w:p>
        </w:tc>
        <w:tc>
          <w:tcPr>
            <w:tcW w:w="1064"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9 750</w:t>
            </w:r>
          </w:p>
        </w:tc>
        <w:tc>
          <w:tcPr>
            <w:tcW w:w="1520"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13,2</w:t>
            </w:r>
          </w:p>
        </w:tc>
        <w:tc>
          <w:tcPr>
            <w:tcW w:w="1260" w:type="dxa"/>
            <w:tcBorders>
              <w:top w:val="single" w:sz="12"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32 757</w:t>
            </w:r>
          </w:p>
        </w:tc>
      </w:tr>
      <w:tr w:rsidR="00332909" w:rsidTr="00332909">
        <w:trPr>
          <w:trHeight w:val="320"/>
        </w:trPr>
        <w:tc>
          <w:tcPr>
            <w:tcW w:w="1701" w:type="dxa"/>
            <w:tcBorders>
              <w:top w:val="single" w:sz="4"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rPr>
                <w:rFonts w:cs="Times New Roman"/>
              </w:rPr>
            </w:pPr>
            <w:r>
              <w:rPr>
                <w:rFonts w:cs="Times New Roman"/>
              </w:rPr>
              <w:t>25 – 34 rokov</w:t>
            </w:r>
          </w:p>
        </w:tc>
        <w:tc>
          <w:tcPr>
            <w:tcW w:w="1276"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1 653</w:t>
            </w:r>
          </w:p>
        </w:tc>
        <w:tc>
          <w:tcPr>
            <w:tcW w:w="122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24,9</w:t>
            </w:r>
          </w:p>
        </w:tc>
        <w:tc>
          <w:tcPr>
            <w:tcW w:w="106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14 928</w:t>
            </w:r>
          </w:p>
        </w:tc>
        <w:tc>
          <w:tcPr>
            <w:tcW w:w="152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23,6</w:t>
            </w:r>
          </w:p>
        </w:tc>
        <w:tc>
          <w:tcPr>
            <w:tcW w:w="1260"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58 590</w:t>
            </w:r>
          </w:p>
        </w:tc>
      </w:tr>
      <w:tr w:rsidR="00332909" w:rsidTr="00332909">
        <w:trPr>
          <w:trHeight w:val="320"/>
        </w:trPr>
        <w:tc>
          <w:tcPr>
            <w:tcW w:w="1701" w:type="dxa"/>
            <w:tcBorders>
              <w:top w:val="single" w:sz="4"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rPr>
                <w:rFonts w:cs="Times New Roman"/>
              </w:rPr>
            </w:pPr>
            <w:r>
              <w:rPr>
                <w:rFonts w:cs="Times New Roman"/>
              </w:rPr>
              <w:t>35 – 44 rokov</w:t>
            </w:r>
          </w:p>
        </w:tc>
        <w:tc>
          <w:tcPr>
            <w:tcW w:w="1276"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24,4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1 673</w:t>
            </w:r>
          </w:p>
        </w:tc>
        <w:tc>
          <w:tcPr>
            <w:tcW w:w="122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24,3</w:t>
            </w:r>
          </w:p>
        </w:tc>
        <w:tc>
          <w:tcPr>
            <w:tcW w:w="106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14 579</w:t>
            </w:r>
          </w:p>
        </w:tc>
        <w:tc>
          <w:tcPr>
            <w:tcW w:w="152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24,6</w:t>
            </w:r>
          </w:p>
        </w:tc>
        <w:tc>
          <w:tcPr>
            <w:tcW w:w="1260"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61 139</w:t>
            </w:r>
          </w:p>
        </w:tc>
      </w:tr>
      <w:tr w:rsidR="00332909" w:rsidTr="00332909">
        <w:trPr>
          <w:trHeight w:val="320"/>
        </w:trPr>
        <w:tc>
          <w:tcPr>
            <w:tcW w:w="1701" w:type="dxa"/>
            <w:tcBorders>
              <w:top w:val="single" w:sz="4" w:space="0" w:color="auto"/>
              <w:left w:val="single" w:sz="12" w:space="0" w:color="auto"/>
              <w:bottom w:val="single" w:sz="4" w:space="0" w:color="auto"/>
              <w:right w:val="single" w:sz="12" w:space="0" w:color="auto"/>
            </w:tcBorders>
            <w:vAlign w:val="center"/>
            <w:hideMark/>
          </w:tcPr>
          <w:p w:rsidR="00332909" w:rsidRDefault="00332909">
            <w:pPr>
              <w:spacing w:after="0" w:line="276" w:lineRule="auto"/>
              <w:rPr>
                <w:rFonts w:cs="Times New Roman"/>
              </w:rPr>
            </w:pPr>
            <w:r>
              <w:rPr>
                <w:rFonts w:cs="Times New Roman"/>
              </w:rPr>
              <w:t>45 – 54 rokov</w:t>
            </w:r>
          </w:p>
        </w:tc>
        <w:tc>
          <w:tcPr>
            <w:tcW w:w="1276"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1 371</w:t>
            </w:r>
          </w:p>
        </w:tc>
        <w:tc>
          <w:tcPr>
            <w:tcW w:w="122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21,3</w:t>
            </w:r>
          </w:p>
        </w:tc>
        <w:tc>
          <w:tcPr>
            <w:tcW w:w="106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12 792</w:t>
            </w:r>
          </w:p>
        </w:tc>
        <w:tc>
          <w:tcPr>
            <w:tcW w:w="152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22,4</w:t>
            </w:r>
          </w:p>
        </w:tc>
        <w:tc>
          <w:tcPr>
            <w:tcW w:w="1260"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55 712</w:t>
            </w:r>
          </w:p>
        </w:tc>
      </w:tr>
      <w:tr w:rsidR="00332909" w:rsidTr="00332909">
        <w:trPr>
          <w:trHeight w:val="320"/>
        </w:trPr>
        <w:tc>
          <w:tcPr>
            <w:tcW w:w="1701" w:type="dxa"/>
            <w:tcBorders>
              <w:top w:val="single" w:sz="4" w:space="0" w:color="auto"/>
              <w:left w:val="single" w:sz="12" w:space="0" w:color="auto"/>
              <w:bottom w:val="single" w:sz="12" w:space="0" w:color="auto"/>
              <w:right w:val="single" w:sz="12" w:space="0" w:color="auto"/>
            </w:tcBorders>
            <w:vAlign w:val="center"/>
            <w:hideMark/>
          </w:tcPr>
          <w:p w:rsidR="00332909" w:rsidRDefault="00332909">
            <w:pPr>
              <w:spacing w:after="0" w:line="276" w:lineRule="auto"/>
              <w:rPr>
                <w:rFonts w:cs="Times New Roman"/>
              </w:rPr>
            </w:pPr>
            <w:r>
              <w:rPr>
                <w:rFonts w:cs="Times New Roman"/>
              </w:rPr>
              <w:t>55 rokov a viac</w:t>
            </w:r>
          </w:p>
        </w:tc>
        <w:tc>
          <w:tcPr>
            <w:tcW w:w="1276" w:type="dxa"/>
            <w:tcBorders>
              <w:top w:val="single" w:sz="4" w:space="0" w:color="auto"/>
              <w:left w:val="single" w:sz="12"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12,6</w:t>
            </w:r>
          </w:p>
        </w:tc>
        <w:tc>
          <w:tcPr>
            <w:tcW w:w="1134"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866</w:t>
            </w:r>
          </w:p>
        </w:tc>
        <w:tc>
          <w:tcPr>
            <w:tcW w:w="1225"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13,2</w:t>
            </w:r>
          </w:p>
        </w:tc>
        <w:tc>
          <w:tcPr>
            <w:tcW w:w="1064"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 xml:space="preserve"> 7 925</w:t>
            </w:r>
          </w:p>
        </w:tc>
        <w:tc>
          <w:tcPr>
            <w:tcW w:w="1520"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16,3</w:t>
            </w:r>
          </w:p>
        </w:tc>
        <w:tc>
          <w:tcPr>
            <w:tcW w:w="1260" w:type="dxa"/>
            <w:tcBorders>
              <w:top w:val="single" w:sz="4"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40 555</w:t>
            </w:r>
          </w:p>
        </w:tc>
      </w:tr>
    </w:tbl>
    <w:p w:rsidR="00332909" w:rsidRDefault="00332909" w:rsidP="00332909">
      <w:pPr>
        <w:spacing w:before="120"/>
        <w:rPr>
          <w:rFonts w:cs="Times New Roman"/>
          <w:sz w:val="20"/>
        </w:rPr>
      </w:pPr>
      <w:r>
        <w:rPr>
          <w:rFonts w:cs="Times New Roman"/>
          <w:sz w:val="20"/>
        </w:rPr>
        <w:t xml:space="preserve">Zdroj: </w:t>
      </w:r>
      <w:r>
        <w:rPr>
          <w:rFonts w:cs="Times New Roman"/>
        </w:rPr>
        <w:t>ÚPSVaR</w:t>
      </w:r>
      <w:r>
        <w:rPr>
          <w:rFonts w:cs="Times New Roman"/>
          <w:sz w:val="20"/>
        </w:rPr>
        <w:t xml:space="preserve"> - Mesačná štatistika o počte a štruktúre uchádzačov o zamestnanie, apríl 2017</w:t>
      </w:r>
    </w:p>
    <w:p w:rsidR="00332909" w:rsidRDefault="00332909" w:rsidP="00332909">
      <w:pPr>
        <w:rPr>
          <w:rFonts w:cs="Times New Roman"/>
          <w:b/>
        </w:rPr>
      </w:pPr>
      <w:r>
        <w:rPr>
          <w:rFonts w:cs="Times New Roman"/>
          <w:b/>
        </w:rPr>
        <w:t>Priemerná hrubá nominálna mesačná mzda v okrese, v závislosti od pohlavia, bola v porovnaní s celkovým slovenským priemerom a priemernými hodnotami Prešovského samosprávneho kraja nižšia, a to tak v prípade mužov ako aj žien</w:t>
      </w:r>
      <w:r>
        <w:rPr>
          <w:rFonts w:cs="Times New Roman"/>
        </w:rPr>
        <w:t xml:space="preserve"> (</w:t>
      </w:r>
      <w:r w:rsidR="00031D76">
        <w:fldChar w:fldCharType="begin"/>
      </w:r>
      <w:r w:rsidR="00031D76">
        <w:instrText xml:space="preserve"> REF _Ref488518666 \h  \* MERGEFORMAT </w:instrText>
      </w:r>
      <w:r w:rsidR="00031D76">
        <w:fldChar w:fldCharType="separate"/>
      </w:r>
      <w:r w:rsidR="005922EB" w:rsidRPr="005922EB">
        <w:rPr>
          <w:rFonts w:cs="Times New Roman"/>
        </w:rPr>
        <w:t xml:space="preserve">Tab. </w:t>
      </w:r>
      <w:r w:rsidR="00031D76">
        <w:fldChar w:fldCharType="end"/>
      </w:r>
      <w:r>
        <w:rPr>
          <w:rFonts w:cs="Times New Roman"/>
        </w:rPr>
        <w:t xml:space="preserve">8). Muži v okrese zarábali o 463 eur menej ako je celoslovenský priemer a ženy o 237 eur. V porovnaní s priemerom za Prešovský samosprávny kraj zarábali zamestnanci v okrese Bardejov mesačne o 163 eur menej. Mesačná mzda mužov bola oproti priemeru kraja o 213 eur nižšia a mzda žien bola nižšia o 111 eur. </w:t>
      </w:r>
      <w:r>
        <w:rPr>
          <w:rFonts w:cs="Times New Roman"/>
          <w:b/>
        </w:rPr>
        <w:t>Na druhej strane, okres Bardejov sa vyznačuje nízkou mierou nerovnosti miezd medzi pohlaviami: priemerná mzda žien predstavuje 94,6% mužského priemeru, zatiaľ čo za kraj je tento podiel 84,2 % a za Slovensko 76,6 %.</w:t>
      </w:r>
    </w:p>
    <w:p w:rsidR="00332909" w:rsidRDefault="00332909" w:rsidP="00332909">
      <w:pPr>
        <w:pStyle w:val="Popis"/>
        <w:keepNext/>
        <w:spacing w:after="0" w:line="276" w:lineRule="auto"/>
        <w:rPr>
          <w:rFonts w:cs="Times New Roman"/>
          <w:i w:val="0"/>
          <w:color w:val="auto"/>
          <w:sz w:val="20"/>
          <w:szCs w:val="22"/>
        </w:rPr>
      </w:pPr>
      <w:bookmarkStart w:id="18" w:name="_Ref488518666"/>
      <w:r>
        <w:rPr>
          <w:rFonts w:cs="Times New Roman"/>
          <w:i w:val="0"/>
          <w:color w:val="auto"/>
          <w:sz w:val="20"/>
          <w:szCs w:val="22"/>
        </w:rPr>
        <w:t xml:space="preserve">Tab. </w:t>
      </w:r>
      <w:bookmarkEnd w:id="18"/>
      <w:r>
        <w:rPr>
          <w:rFonts w:cs="Times New Roman"/>
          <w:i w:val="0"/>
          <w:color w:val="auto"/>
          <w:sz w:val="20"/>
          <w:szCs w:val="22"/>
        </w:rPr>
        <w:t>8 Priemerná hrubá nominálna mesačná mzda podľa pohlavia v roku 2015 (v €)</w:t>
      </w:r>
    </w:p>
    <w:tbl>
      <w:tblPr>
        <w:tblStyle w:val="Mriekatabuky"/>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65"/>
        <w:gridCol w:w="2265"/>
        <w:gridCol w:w="2266"/>
        <w:gridCol w:w="2266"/>
      </w:tblGrid>
      <w:tr w:rsidR="00332909" w:rsidTr="00332909">
        <w:tc>
          <w:tcPr>
            <w:tcW w:w="2265" w:type="dxa"/>
            <w:tcBorders>
              <w:top w:val="single" w:sz="12" w:space="0" w:color="auto"/>
              <w:left w:val="single" w:sz="12" w:space="0" w:color="auto"/>
              <w:bottom w:val="single" w:sz="12" w:space="0" w:color="auto"/>
              <w:right w:val="single" w:sz="12" w:space="0" w:color="auto"/>
            </w:tcBorders>
          </w:tcPr>
          <w:p w:rsidR="00332909" w:rsidRDefault="00332909">
            <w:pPr>
              <w:spacing w:after="0" w:line="276" w:lineRule="auto"/>
              <w:rPr>
                <w:rFonts w:cs="Times New Roman"/>
              </w:rPr>
            </w:pPr>
          </w:p>
        </w:tc>
        <w:tc>
          <w:tcPr>
            <w:tcW w:w="2265" w:type="dxa"/>
            <w:tcBorders>
              <w:top w:val="single" w:sz="12" w:space="0" w:color="auto"/>
              <w:left w:val="single" w:sz="12"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Okres Bardejov</w:t>
            </w:r>
          </w:p>
        </w:tc>
        <w:tc>
          <w:tcPr>
            <w:tcW w:w="2266"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76" w:lineRule="auto"/>
              <w:jc w:val="center"/>
              <w:rPr>
                <w:rFonts w:cs="Times New Roman"/>
              </w:rPr>
            </w:pPr>
            <w:r>
              <w:rPr>
                <w:rFonts w:cs="Times New Roman"/>
              </w:rPr>
              <w:t>Prešovský samosprávny kraj</w:t>
            </w:r>
          </w:p>
        </w:tc>
        <w:tc>
          <w:tcPr>
            <w:tcW w:w="2266" w:type="dxa"/>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76" w:lineRule="auto"/>
              <w:jc w:val="center"/>
              <w:rPr>
                <w:rFonts w:cs="Times New Roman"/>
              </w:rPr>
            </w:pPr>
            <w:r>
              <w:rPr>
                <w:rFonts w:cs="Times New Roman"/>
              </w:rPr>
              <w:t>Slovensko</w:t>
            </w:r>
          </w:p>
        </w:tc>
      </w:tr>
      <w:tr w:rsidR="00332909" w:rsidTr="00332909">
        <w:tc>
          <w:tcPr>
            <w:tcW w:w="2265" w:type="dxa"/>
            <w:tcBorders>
              <w:top w:val="single" w:sz="12"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rPr>
            </w:pPr>
            <w:r>
              <w:rPr>
                <w:rFonts w:cs="Times New Roman"/>
              </w:rPr>
              <w:t>spolu</w:t>
            </w:r>
          </w:p>
        </w:tc>
        <w:tc>
          <w:tcPr>
            <w:tcW w:w="2265" w:type="dxa"/>
            <w:tcBorders>
              <w:top w:val="single" w:sz="12"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636</w:t>
            </w:r>
          </w:p>
        </w:tc>
        <w:tc>
          <w:tcPr>
            <w:tcW w:w="2266"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799</w:t>
            </w:r>
          </w:p>
        </w:tc>
        <w:tc>
          <w:tcPr>
            <w:tcW w:w="2266"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993</w:t>
            </w:r>
          </w:p>
        </w:tc>
      </w:tr>
      <w:tr w:rsidR="00332909" w:rsidTr="00332909">
        <w:tc>
          <w:tcPr>
            <w:tcW w:w="2265"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76" w:lineRule="auto"/>
              <w:rPr>
                <w:rFonts w:cs="Times New Roman"/>
              </w:rPr>
            </w:pPr>
            <w:r>
              <w:rPr>
                <w:rFonts w:cs="Times New Roman"/>
              </w:rPr>
              <w:t>muži</w:t>
            </w:r>
          </w:p>
        </w:tc>
        <w:tc>
          <w:tcPr>
            <w:tcW w:w="226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653</w:t>
            </w:r>
          </w:p>
        </w:tc>
        <w:tc>
          <w:tcPr>
            <w:tcW w:w="2266"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76" w:lineRule="auto"/>
              <w:jc w:val="center"/>
              <w:rPr>
                <w:rFonts w:cs="Times New Roman"/>
              </w:rPr>
            </w:pPr>
            <w:r>
              <w:rPr>
                <w:rFonts w:cs="Times New Roman"/>
              </w:rPr>
              <w:t>866</w:t>
            </w:r>
          </w:p>
        </w:tc>
        <w:tc>
          <w:tcPr>
            <w:tcW w:w="226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76" w:lineRule="auto"/>
              <w:jc w:val="center"/>
              <w:rPr>
                <w:rFonts w:cs="Times New Roman"/>
              </w:rPr>
            </w:pPr>
            <w:r>
              <w:rPr>
                <w:rFonts w:cs="Times New Roman"/>
              </w:rPr>
              <w:t>1116</w:t>
            </w:r>
          </w:p>
        </w:tc>
      </w:tr>
      <w:tr w:rsidR="00332909" w:rsidTr="00332909">
        <w:tc>
          <w:tcPr>
            <w:tcW w:w="2265" w:type="dxa"/>
            <w:tcBorders>
              <w:top w:val="single" w:sz="4" w:space="0" w:color="auto"/>
              <w:left w:val="single" w:sz="12" w:space="0" w:color="auto"/>
              <w:bottom w:val="single" w:sz="12" w:space="0" w:color="auto"/>
              <w:right w:val="single" w:sz="12" w:space="0" w:color="auto"/>
            </w:tcBorders>
            <w:hideMark/>
          </w:tcPr>
          <w:p w:rsidR="00332909" w:rsidRDefault="00332909">
            <w:pPr>
              <w:spacing w:after="0" w:line="276" w:lineRule="auto"/>
              <w:rPr>
                <w:rFonts w:cs="Times New Roman"/>
              </w:rPr>
            </w:pPr>
            <w:r>
              <w:rPr>
                <w:rFonts w:cs="Times New Roman"/>
              </w:rPr>
              <w:t>ženy</w:t>
            </w:r>
          </w:p>
        </w:tc>
        <w:tc>
          <w:tcPr>
            <w:tcW w:w="2265" w:type="dxa"/>
            <w:tcBorders>
              <w:top w:val="single" w:sz="4" w:space="0" w:color="auto"/>
              <w:left w:val="single" w:sz="12" w:space="0" w:color="auto"/>
              <w:bottom w:val="single" w:sz="12" w:space="0" w:color="auto"/>
              <w:right w:val="single" w:sz="4" w:space="0" w:color="auto"/>
            </w:tcBorders>
            <w:hideMark/>
          </w:tcPr>
          <w:p w:rsidR="00332909" w:rsidRDefault="00332909">
            <w:pPr>
              <w:spacing w:after="0" w:line="276" w:lineRule="auto"/>
              <w:jc w:val="center"/>
              <w:rPr>
                <w:rFonts w:cs="Times New Roman"/>
              </w:rPr>
            </w:pPr>
            <w:r>
              <w:rPr>
                <w:rFonts w:cs="Times New Roman"/>
              </w:rPr>
              <w:t>618</w:t>
            </w:r>
          </w:p>
        </w:tc>
        <w:tc>
          <w:tcPr>
            <w:tcW w:w="2266"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76" w:lineRule="auto"/>
              <w:jc w:val="center"/>
              <w:rPr>
                <w:rFonts w:cs="Times New Roman"/>
              </w:rPr>
            </w:pPr>
            <w:r>
              <w:rPr>
                <w:rFonts w:cs="Times New Roman"/>
              </w:rPr>
              <w:t>729</w:t>
            </w:r>
          </w:p>
        </w:tc>
        <w:tc>
          <w:tcPr>
            <w:tcW w:w="2266" w:type="dxa"/>
            <w:tcBorders>
              <w:top w:val="single" w:sz="4" w:space="0" w:color="auto"/>
              <w:left w:val="single" w:sz="4" w:space="0" w:color="auto"/>
              <w:bottom w:val="single" w:sz="12" w:space="0" w:color="auto"/>
              <w:right w:val="single" w:sz="12" w:space="0" w:color="auto"/>
            </w:tcBorders>
            <w:hideMark/>
          </w:tcPr>
          <w:p w:rsidR="00332909" w:rsidRDefault="00332909">
            <w:pPr>
              <w:spacing w:after="0" w:line="276" w:lineRule="auto"/>
              <w:jc w:val="center"/>
              <w:rPr>
                <w:rFonts w:cs="Times New Roman"/>
              </w:rPr>
            </w:pPr>
            <w:r>
              <w:rPr>
                <w:rFonts w:cs="Times New Roman"/>
              </w:rPr>
              <w:t>855</w:t>
            </w:r>
          </w:p>
        </w:tc>
      </w:tr>
    </w:tbl>
    <w:p w:rsidR="00332909" w:rsidRDefault="00332909" w:rsidP="00332909">
      <w:pPr>
        <w:spacing w:before="120"/>
        <w:rPr>
          <w:rFonts w:cs="Times New Roman"/>
          <w:sz w:val="20"/>
        </w:rPr>
      </w:pPr>
      <w:r>
        <w:rPr>
          <w:rFonts w:cs="Times New Roman"/>
          <w:sz w:val="20"/>
        </w:rPr>
        <w:t>Zdroj: ŠÚ SR, databáza DATAcube, Demografia a sociálne štatistiky</w:t>
      </w:r>
    </w:p>
    <w:p w:rsidR="00332909" w:rsidRDefault="00332909" w:rsidP="00332909">
      <w:pPr>
        <w:rPr>
          <w:rFonts w:cs="Times New Roman"/>
        </w:rPr>
      </w:pPr>
      <w:r>
        <w:rPr>
          <w:rFonts w:cs="Times New Roman"/>
        </w:rPr>
        <w:lastRenderedPageBreak/>
        <w:t>Významnými zamestnávateľmi v okrese sú nasledujúce odvetvia hospodárstva: verejná správa a služby verejného sektora (takmer 36 %), priemysel (17,7 %) a veľkoobchod a maloobchod (9,9 %). V okrese Bardejov pracuje v odvetví zdravotníctva takmer o 6 percentuálnych bodov viac zamestnancov oproti priemernej hodnote (13,1 % v okrese oproti 7,3 % na Slovensku) a v odvetví verejnej správy o vyše 3 percentuálne body viac zamestnancov v porovnaní s priemerom krajiny. Vyšší podiel zamestnanosti oproti priemeru SR dosahujú aj odvetvia vzdelávania a stavebníctva. Na druhej strane nižší podiel zamestnancov v rámci hospodárstva je zaznamenaných v odvetví poľnohospodárstva (</w:t>
      </w:r>
      <w:r w:rsidR="00031D76">
        <w:fldChar w:fldCharType="begin"/>
      </w:r>
      <w:r w:rsidR="00031D76">
        <w:instrText xml:space="preserve"> REF _Ref488518737 \h  \* MERGEFORMAT </w:instrText>
      </w:r>
      <w:r w:rsidR="00031D76">
        <w:fldChar w:fldCharType="separate"/>
      </w:r>
      <w:r w:rsidR="005922EB" w:rsidRPr="005922EB">
        <w:rPr>
          <w:rFonts w:cs="Times New Roman"/>
        </w:rPr>
        <w:t xml:space="preserve">Tab. </w:t>
      </w:r>
      <w:r w:rsidR="00031D76">
        <w:fldChar w:fldCharType="end"/>
      </w:r>
      <w:r>
        <w:rPr>
          <w:rFonts w:cs="Times New Roman"/>
        </w:rPr>
        <w:t>9).</w:t>
      </w:r>
    </w:p>
    <w:p w:rsidR="00332909" w:rsidRDefault="00332909" w:rsidP="00332909">
      <w:pPr>
        <w:rPr>
          <w:rFonts w:cs="Times New Roman"/>
        </w:rPr>
      </w:pPr>
      <w:r>
        <w:rPr>
          <w:rFonts w:cs="Times New Roman"/>
        </w:rPr>
        <w:t xml:space="preserve">Podľa údajov z databázy ekonomických subjektov SR, ktorú spravuje Inštitút informatiky a štatistiky (Infostat), na konci roku 2016 </w:t>
      </w:r>
      <w:r>
        <w:rPr>
          <w:rFonts w:cs="Times New Roman"/>
          <w:b/>
        </w:rPr>
        <w:t>medzi najväčších zamestnávateľov</w:t>
      </w:r>
      <w:r>
        <w:rPr>
          <w:rFonts w:cs="Times New Roman"/>
        </w:rPr>
        <w:t xml:space="preserve">, ktorí majú sídlo podniku v okrese Bardejov, </w:t>
      </w:r>
      <w:r>
        <w:rPr>
          <w:rFonts w:cs="Times New Roman"/>
          <w:b/>
        </w:rPr>
        <w:t>patrí nemocnica Svätého Jakuba n.o.</w:t>
      </w:r>
      <w:r>
        <w:rPr>
          <w:rFonts w:cs="Times New Roman"/>
        </w:rPr>
        <w:t xml:space="preserve">, ktorej počet zamestnancov bol ku koncu roku 2016 vyšší ako 500 zamestnancov. Nad 200 zamestnancov dosahovali aj maloobchod v nešpecializovaných predajniach najmä s potravinami, nápojmi a tabakom, personálne agentúry, ktoré poskytujú personálny lízing. Ďalšími veľkými zamestnávateľskými firmami sú spoločnosti z oblasti nákladnej dopravy, spoločnosť na výrobu zariadení na kvapalný pohon, kúpele a mesto Bardejov. </w:t>
      </w:r>
    </w:p>
    <w:p w:rsidR="00332909" w:rsidRDefault="00332909" w:rsidP="00332909">
      <w:pPr>
        <w:rPr>
          <w:rFonts w:cs="Times New Roman"/>
        </w:rPr>
      </w:pPr>
      <w:r>
        <w:rPr>
          <w:rFonts w:cs="Times New Roman"/>
        </w:rPr>
        <w:t xml:space="preserve">Z údajov o dochádzke a odchádzke obyvateľstva zo Sčítania obyvateľov, domov a bytov 2011 vyplýva, že v roku 2011 vyše 22 % ekonomicky aktívnych obyvateľov okresu Bardejov denne odchádzalo za prácou mimo okresu, pričom do zahraničia odchádzalo 12,3 % ekonomicky aktívnych obyvateľov. Najvýznamnejšími hospodárskymi odvetviami v iných slovenských okresoch, do ktorých obyvatelia z okresu Bardejov odchádzali za prácou, boli verejná správa, stavebníctvo a priemysel. V (Tab. 9) je uvedený percentuálny podiel zamestnancov podľa odvetví hospodárstva. </w:t>
      </w:r>
    </w:p>
    <w:p w:rsidR="00332909" w:rsidRDefault="00332909" w:rsidP="00332909">
      <w:pPr>
        <w:pStyle w:val="Popis"/>
        <w:keepNext/>
        <w:spacing w:after="0" w:line="276" w:lineRule="auto"/>
        <w:rPr>
          <w:rFonts w:cs="Times New Roman"/>
          <w:i w:val="0"/>
          <w:color w:val="auto"/>
          <w:sz w:val="20"/>
          <w:szCs w:val="22"/>
        </w:rPr>
      </w:pPr>
      <w:bookmarkStart w:id="19" w:name="_Ref488518737"/>
      <w:r>
        <w:rPr>
          <w:rFonts w:cs="Times New Roman"/>
          <w:i w:val="0"/>
          <w:color w:val="auto"/>
          <w:sz w:val="20"/>
          <w:szCs w:val="22"/>
        </w:rPr>
        <w:t xml:space="preserve">Tab. </w:t>
      </w:r>
      <w:bookmarkEnd w:id="19"/>
      <w:r>
        <w:rPr>
          <w:rFonts w:cs="Times New Roman"/>
          <w:i w:val="0"/>
          <w:color w:val="auto"/>
          <w:sz w:val="20"/>
          <w:szCs w:val="22"/>
        </w:rPr>
        <w:t>9 Percentuálny podiel zamestnancov podľa odvetví hospodárstva (v %)</w:t>
      </w:r>
    </w:p>
    <w:tbl>
      <w:tblPr>
        <w:tblStyle w:val="Mriekatabuky"/>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54"/>
        <w:gridCol w:w="1985"/>
        <w:gridCol w:w="2409"/>
        <w:gridCol w:w="1686"/>
      </w:tblGrid>
      <w:tr w:rsidR="00332909" w:rsidTr="00332909">
        <w:tc>
          <w:tcPr>
            <w:tcW w:w="2854" w:type="dxa"/>
            <w:tcBorders>
              <w:top w:val="single" w:sz="12" w:space="0" w:color="auto"/>
              <w:left w:val="single" w:sz="12" w:space="0" w:color="auto"/>
              <w:bottom w:val="single" w:sz="12" w:space="0" w:color="auto"/>
              <w:right w:val="single" w:sz="4" w:space="0" w:color="auto"/>
            </w:tcBorders>
          </w:tcPr>
          <w:p w:rsidR="00332909" w:rsidRDefault="00332909">
            <w:pPr>
              <w:spacing w:after="0" w:line="23" w:lineRule="atLeast"/>
              <w:rPr>
                <w:rFonts w:cs="Times New Roman"/>
              </w:rPr>
            </w:pPr>
          </w:p>
        </w:tc>
        <w:tc>
          <w:tcPr>
            <w:tcW w:w="1985"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3" w:lineRule="atLeast"/>
              <w:jc w:val="center"/>
              <w:rPr>
                <w:rFonts w:cs="Times New Roman"/>
              </w:rPr>
            </w:pPr>
            <w:r>
              <w:rPr>
                <w:rFonts w:cs="Times New Roman"/>
              </w:rPr>
              <w:t>Okres Bardejov</w:t>
            </w:r>
          </w:p>
        </w:tc>
        <w:tc>
          <w:tcPr>
            <w:tcW w:w="2409" w:type="dxa"/>
            <w:tcBorders>
              <w:top w:val="single" w:sz="12" w:space="0" w:color="auto"/>
              <w:left w:val="single" w:sz="4" w:space="0" w:color="auto"/>
              <w:bottom w:val="single" w:sz="12" w:space="0" w:color="auto"/>
              <w:right w:val="single" w:sz="4" w:space="0" w:color="auto"/>
            </w:tcBorders>
            <w:vAlign w:val="center"/>
            <w:hideMark/>
          </w:tcPr>
          <w:p w:rsidR="00332909" w:rsidRDefault="00332909">
            <w:pPr>
              <w:spacing w:after="0" w:line="23" w:lineRule="atLeast"/>
              <w:jc w:val="center"/>
              <w:rPr>
                <w:rFonts w:cs="Times New Roman"/>
              </w:rPr>
            </w:pPr>
            <w:r>
              <w:rPr>
                <w:rFonts w:cs="Times New Roman"/>
              </w:rPr>
              <w:t>Prešovský samosprávny kraj</w:t>
            </w:r>
          </w:p>
        </w:tc>
        <w:tc>
          <w:tcPr>
            <w:tcW w:w="1686" w:type="dxa"/>
            <w:tcBorders>
              <w:top w:val="single" w:sz="12" w:space="0" w:color="auto"/>
              <w:left w:val="single" w:sz="4" w:space="0" w:color="auto"/>
              <w:bottom w:val="single" w:sz="12" w:space="0" w:color="auto"/>
              <w:right w:val="single" w:sz="12" w:space="0" w:color="auto"/>
            </w:tcBorders>
            <w:vAlign w:val="center"/>
            <w:hideMark/>
          </w:tcPr>
          <w:p w:rsidR="00332909" w:rsidRDefault="00332909">
            <w:pPr>
              <w:spacing w:after="0" w:line="23" w:lineRule="atLeast"/>
              <w:jc w:val="center"/>
              <w:rPr>
                <w:rFonts w:cs="Times New Roman"/>
              </w:rPr>
            </w:pPr>
            <w:r>
              <w:rPr>
                <w:rFonts w:cs="Times New Roman"/>
              </w:rPr>
              <w:t>Slovensko</w:t>
            </w:r>
          </w:p>
        </w:tc>
      </w:tr>
      <w:tr w:rsidR="00332909" w:rsidTr="00332909">
        <w:tc>
          <w:tcPr>
            <w:tcW w:w="2854" w:type="dxa"/>
            <w:tcBorders>
              <w:top w:val="single" w:sz="12"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Poľnohospodárstvo</w:t>
            </w:r>
          </w:p>
        </w:tc>
        <w:tc>
          <w:tcPr>
            <w:tcW w:w="1985" w:type="dxa"/>
            <w:tcBorders>
              <w:top w:val="single" w:sz="12"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3,3</w:t>
            </w:r>
          </w:p>
        </w:tc>
        <w:tc>
          <w:tcPr>
            <w:tcW w:w="2409" w:type="dxa"/>
            <w:tcBorders>
              <w:top w:val="single" w:sz="12"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3,5</w:t>
            </w:r>
          </w:p>
        </w:tc>
        <w:tc>
          <w:tcPr>
            <w:tcW w:w="1686" w:type="dxa"/>
            <w:tcBorders>
              <w:top w:val="single" w:sz="12"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2,7</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Priemysel</w:t>
            </w:r>
          </w:p>
        </w:tc>
        <w:tc>
          <w:tcPr>
            <w:tcW w:w="198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17,7</w:t>
            </w:r>
          </w:p>
        </w:tc>
        <w:tc>
          <w:tcPr>
            <w:tcW w:w="2409"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27,7</w:t>
            </w:r>
          </w:p>
        </w:tc>
        <w:tc>
          <w:tcPr>
            <w:tcW w:w="168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27,9</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Stavebníctvo</w:t>
            </w:r>
          </w:p>
        </w:tc>
        <w:tc>
          <w:tcPr>
            <w:tcW w:w="198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5,8</w:t>
            </w:r>
          </w:p>
        </w:tc>
        <w:tc>
          <w:tcPr>
            <w:tcW w:w="2409"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5,3</w:t>
            </w:r>
          </w:p>
        </w:tc>
        <w:tc>
          <w:tcPr>
            <w:tcW w:w="168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4,1</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Veľkoobchod a maloobchod</w:t>
            </w:r>
          </w:p>
        </w:tc>
        <w:tc>
          <w:tcPr>
            <w:tcW w:w="1985"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0" w:line="23" w:lineRule="atLeast"/>
              <w:jc w:val="center"/>
              <w:rPr>
                <w:rFonts w:cs="Times New Roman"/>
              </w:rPr>
            </w:pPr>
            <w:r>
              <w:rPr>
                <w:rFonts w:cs="Times New Roman"/>
              </w:rPr>
              <w:t>9,9</w:t>
            </w:r>
          </w:p>
        </w:tc>
        <w:tc>
          <w:tcPr>
            <w:tcW w:w="2409"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line="23" w:lineRule="atLeast"/>
              <w:jc w:val="center"/>
              <w:rPr>
                <w:rFonts w:cs="Times New Roman"/>
              </w:rPr>
            </w:pPr>
            <w:r>
              <w:rPr>
                <w:rFonts w:cs="Times New Roman"/>
              </w:rPr>
              <w:t>13,1</w:t>
            </w:r>
          </w:p>
        </w:tc>
        <w:tc>
          <w:tcPr>
            <w:tcW w:w="1686"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0" w:line="23" w:lineRule="atLeast"/>
              <w:jc w:val="center"/>
              <w:rPr>
                <w:rFonts w:cs="Times New Roman"/>
              </w:rPr>
            </w:pPr>
            <w:r>
              <w:rPr>
                <w:rFonts w:cs="Times New Roman"/>
              </w:rPr>
              <w:t>14,2</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Doprava a skladovanie</w:t>
            </w:r>
          </w:p>
        </w:tc>
        <w:tc>
          <w:tcPr>
            <w:tcW w:w="198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5,6</w:t>
            </w:r>
          </w:p>
        </w:tc>
        <w:tc>
          <w:tcPr>
            <w:tcW w:w="2409"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5,4</w:t>
            </w:r>
          </w:p>
        </w:tc>
        <w:tc>
          <w:tcPr>
            <w:tcW w:w="168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7,0</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Verejná správa</w:t>
            </w:r>
          </w:p>
        </w:tc>
        <w:tc>
          <w:tcPr>
            <w:tcW w:w="198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12,5</w:t>
            </w:r>
          </w:p>
        </w:tc>
        <w:tc>
          <w:tcPr>
            <w:tcW w:w="2409"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10,4</w:t>
            </w:r>
          </w:p>
        </w:tc>
        <w:tc>
          <w:tcPr>
            <w:tcW w:w="168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9,1</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Vzdelávanie</w:t>
            </w:r>
          </w:p>
        </w:tc>
        <w:tc>
          <w:tcPr>
            <w:tcW w:w="198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10,3</w:t>
            </w:r>
          </w:p>
        </w:tc>
        <w:tc>
          <w:tcPr>
            <w:tcW w:w="2409"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12,5</w:t>
            </w:r>
          </w:p>
        </w:tc>
        <w:tc>
          <w:tcPr>
            <w:tcW w:w="168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9,3</w:t>
            </w:r>
          </w:p>
        </w:tc>
      </w:tr>
      <w:tr w:rsidR="00332909" w:rsidTr="00332909">
        <w:tc>
          <w:tcPr>
            <w:tcW w:w="2854" w:type="dxa"/>
            <w:tcBorders>
              <w:top w:val="single" w:sz="4" w:space="0" w:color="auto"/>
              <w:left w:val="single" w:sz="12" w:space="0" w:color="auto"/>
              <w:bottom w:val="single" w:sz="4" w:space="0" w:color="auto"/>
              <w:right w:val="single" w:sz="12" w:space="0" w:color="auto"/>
            </w:tcBorders>
            <w:hideMark/>
          </w:tcPr>
          <w:p w:rsidR="00332909" w:rsidRDefault="00332909">
            <w:pPr>
              <w:spacing w:after="0" w:line="23" w:lineRule="atLeast"/>
              <w:rPr>
                <w:rFonts w:cs="Times New Roman"/>
              </w:rPr>
            </w:pPr>
            <w:r>
              <w:rPr>
                <w:rFonts w:cs="Times New Roman"/>
              </w:rPr>
              <w:t>Zdravotníctvo</w:t>
            </w:r>
          </w:p>
        </w:tc>
        <w:tc>
          <w:tcPr>
            <w:tcW w:w="1985" w:type="dxa"/>
            <w:tcBorders>
              <w:top w:val="single" w:sz="4" w:space="0" w:color="auto"/>
              <w:left w:val="single" w:sz="12"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13,1</w:t>
            </w:r>
          </w:p>
        </w:tc>
        <w:tc>
          <w:tcPr>
            <w:tcW w:w="2409" w:type="dxa"/>
            <w:tcBorders>
              <w:top w:val="single" w:sz="4" w:space="0" w:color="auto"/>
              <w:left w:val="single" w:sz="4" w:space="0" w:color="auto"/>
              <w:bottom w:val="single" w:sz="4" w:space="0" w:color="auto"/>
              <w:right w:val="single" w:sz="4" w:space="0" w:color="auto"/>
            </w:tcBorders>
            <w:hideMark/>
          </w:tcPr>
          <w:p w:rsidR="00332909" w:rsidRDefault="00332909">
            <w:pPr>
              <w:spacing w:after="0" w:line="23" w:lineRule="atLeast"/>
              <w:jc w:val="center"/>
              <w:rPr>
                <w:rFonts w:cs="Times New Roman"/>
              </w:rPr>
            </w:pPr>
            <w:r>
              <w:rPr>
                <w:rFonts w:cs="Times New Roman"/>
              </w:rPr>
              <w:t>9,0</w:t>
            </w:r>
          </w:p>
        </w:tc>
        <w:tc>
          <w:tcPr>
            <w:tcW w:w="1686" w:type="dxa"/>
            <w:tcBorders>
              <w:top w:val="single" w:sz="4" w:space="0" w:color="auto"/>
              <w:left w:val="single" w:sz="4" w:space="0" w:color="auto"/>
              <w:bottom w:val="single" w:sz="4" w:space="0" w:color="auto"/>
              <w:right w:val="single" w:sz="12" w:space="0" w:color="auto"/>
            </w:tcBorders>
            <w:hideMark/>
          </w:tcPr>
          <w:p w:rsidR="00332909" w:rsidRDefault="00332909">
            <w:pPr>
              <w:spacing w:after="0" w:line="23" w:lineRule="atLeast"/>
              <w:jc w:val="center"/>
              <w:rPr>
                <w:rFonts w:cs="Times New Roman"/>
              </w:rPr>
            </w:pPr>
            <w:r>
              <w:rPr>
                <w:rFonts w:cs="Times New Roman"/>
              </w:rPr>
              <w:t>7,3</w:t>
            </w:r>
          </w:p>
        </w:tc>
      </w:tr>
      <w:tr w:rsidR="00332909" w:rsidTr="00332909">
        <w:tc>
          <w:tcPr>
            <w:tcW w:w="2854" w:type="dxa"/>
            <w:tcBorders>
              <w:top w:val="single" w:sz="4" w:space="0" w:color="auto"/>
              <w:left w:val="single" w:sz="12" w:space="0" w:color="auto"/>
              <w:bottom w:val="single" w:sz="12" w:space="0" w:color="auto"/>
              <w:right w:val="single" w:sz="12" w:space="0" w:color="auto"/>
            </w:tcBorders>
            <w:hideMark/>
          </w:tcPr>
          <w:p w:rsidR="00332909" w:rsidRDefault="00332909">
            <w:pPr>
              <w:spacing w:after="0" w:line="23" w:lineRule="atLeast"/>
              <w:rPr>
                <w:rFonts w:cs="Times New Roman"/>
              </w:rPr>
            </w:pPr>
            <w:r>
              <w:rPr>
                <w:rFonts w:cs="Times New Roman"/>
              </w:rPr>
              <w:t>Ostatné</w:t>
            </w:r>
          </w:p>
        </w:tc>
        <w:tc>
          <w:tcPr>
            <w:tcW w:w="1985" w:type="dxa"/>
            <w:tcBorders>
              <w:top w:val="single" w:sz="4" w:space="0" w:color="auto"/>
              <w:left w:val="single" w:sz="12" w:space="0" w:color="auto"/>
              <w:bottom w:val="single" w:sz="12" w:space="0" w:color="auto"/>
              <w:right w:val="single" w:sz="4" w:space="0" w:color="auto"/>
            </w:tcBorders>
            <w:hideMark/>
          </w:tcPr>
          <w:p w:rsidR="00332909" w:rsidRDefault="00332909">
            <w:pPr>
              <w:spacing w:after="0" w:line="23" w:lineRule="atLeast"/>
              <w:jc w:val="center"/>
              <w:rPr>
                <w:rFonts w:cs="Times New Roman"/>
              </w:rPr>
            </w:pPr>
            <w:r>
              <w:rPr>
                <w:rFonts w:cs="Times New Roman"/>
              </w:rPr>
              <w:t>21,6</w:t>
            </w:r>
          </w:p>
        </w:tc>
        <w:tc>
          <w:tcPr>
            <w:tcW w:w="2409" w:type="dxa"/>
            <w:tcBorders>
              <w:top w:val="single" w:sz="4" w:space="0" w:color="auto"/>
              <w:left w:val="single" w:sz="4" w:space="0" w:color="auto"/>
              <w:bottom w:val="single" w:sz="12" w:space="0" w:color="auto"/>
              <w:right w:val="single" w:sz="4" w:space="0" w:color="auto"/>
            </w:tcBorders>
            <w:hideMark/>
          </w:tcPr>
          <w:p w:rsidR="00332909" w:rsidRDefault="00332909">
            <w:pPr>
              <w:spacing w:after="0" w:line="23" w:lineRule="atLeast"/>
              <w:jc w:val="center"/>
              <w:rPr>
                <w:rFonts w:cs="Times New Roman"/>
              </w:rPr>
            </w:pPr>
            <w:r>
              <w:rPr>
                <w:rFonts w:cs="Times New Roman"/>
              </w:rPr>
              <w:t>13,0</w:t>
            </w:r>
          </w:p>
        </w:tc>
        <w:tc>
          <w:tcPr>
            <w:tcW w:w="1686" w:type="dxa"/>
            <w:tcBorders>
              <w:top w:val="single" w:sz="4" w:space="0" w:color="auto"/>
              <w:left w:val="single" w:sz="4" w:space="0" w:color="auto"/>
              <w:bottom w:val="single" w:sz="12" w:space="0" w:color="auto"/>
              <w:right w:val="single" w:sz="12" w:space="0" w:color="auto"/>
            </w:tcBorders>
            <w:hideMark/>
          </w:tcPr>
          <w:p w:rsidR="00332909" w:rsidRDefault="00332909">
            <w:pPr>
              <w:spacing w:after="0" w:line="23" w:lineRule="atLeast"/>
              <w:jc w:val="center"/>
              <w:rPr>
                <w:rFonts w:cs="Times New Roman"/>
              </w:rPr>
            </w:pPr>
            <w:r>
              <w:rPr>
                <w:rFonts w:cs="Times New Roman"/>
              </w:rPr>
              <w:t>18,4</w:t>
            </w:r>
          </w:p>
        </w:tc>
      </w:tr>
    </w:tbl>
    <w:p w:rsidR="00332909" w:rsidRDefault="00332909" w:rsidP="00332909">
      <w:pPr>
        <w:spacing w:before="120" w:line="240" w:lineRule="auto"/>
        <w:rPr>
          <w:rFonts w:cs="Times New Roman"/>
          <w:sz w:val="20"/>
          <w:szCs w:val="20"/>
        </w:rPr>
      </w:pPr>
      <w:r>
        <w:rPr>
          <w:rFonts w:cs="Times New Roman"/>
          <w:sz w:val="20"/>
          <w:szCs w:val="20"/>
        </w:rPr>
        <w:t xml:space="preserve">Poznámka : Údaje uvedené v tabuľke 9 predstavujú hodnoty za podniky, ktoré sídlia v rámci sledovaného územia a zamestnávajú </w:t>
      </w:r>
      <w:r>
        <w:rPr>
          <w:rFonts w:cs="Times New Roman"/>
          <w:b/>
          <w:sz w:val="20"/>
          <w:szCs w:val="20"/>
        </w:rPr>
        <w:t>20 a viac zamestnancov.</w:t>
      </w:r>
    </w:p>
    <w:p w:rsidR="00332909" w:rsidRDefault="00332909" w:rsidP="00332909">
      <w:pPr>
        <w:rPr>
          <w:rFonts w:cs="Times New Roman"/>
        </w:rPr>
      </w:pPr>
      <w:r>
        <w:rPr>
          <w:rFonts w:cs="Times New Roman"/>
          <w:sz w:val="20"/>
          <w:szCs w:val="20"/>
        </w:rPr>
        <w:t>Zdroj: ŠÚ SR, databáza DATAcube, Demografia a sociálne štatistiky</w:t>
      </w:r>
      <w:bookmarkStart w:id="20" w:name="_Ref484608713"/>
      <w:r>
        <w:rPr>
          <w:rFonts w:cs="Times New Roman"/>
        </w:rPr>
        <w:t xml:space="preserve"> </w:t>
      </w:r>
    </w:p>
    <w:p w:rsidR="00332909" w:rsidRDefault="00332909" w:rsidP="00332909">
      <w:pPr>
        <w:pStyle w:val="Nadpis2"/>
        <w:shd w:val="clear" w:color="auto" w:fill="BFBFBF" w:themeFill="background1" w:themeFillShade="BF"/>
      </w:pPr>
      <w:bookmarkStart w:id="21" w:name="_Toc511211858"/>
      <w:bookmarkStart w:id="22" w:name="_Toc517084335"/>
      <w:r>
        <w:t>Priemysel a stavebníctvo</w:t>
      </w:r>
      <w:bookmarkEnd w:id="21"/>
      <w:bookmarkEnd w:id="22"/>
      <w:r>
        <w:t xml:space="preserve"> </w:t>
      </w:r>
    </w:p>
    <w:p w:rsidR="00332909" w:rsidRDefault="00332909" w:rsidP="00332909">
      <w:pPr>
        <w:rPr>
          <w:rFonts w:cs="Times New Roman"/>
        </w:rPr>
      </w:pPr>
      <w:r>
        <w:rPr>
          <w:rFonts w:cs="Times New Roman"/>
        </w:rPr>
        <w:t xml:space="preserve">Nepriaznivá ekonomická situácia okresu je poznačená excentrickou ťažkou, likvidáciou zbrojnej výroby, rozpadom východných trhov a redukciou až útlmom poľnohospodárskej a stavebnej výroby v 90. rokoch 20. storočia a nízkou adaptabilitou na trhové podmienky. Poľnohospodárska výroba zaznamenala svoj najvýraznejší útlm v prvých rokoch 21. storočia o. i., aj výrazným vplyvom a pôsobením podmienok tzv. Spoločnej poľnohospodárskej politiky EÚ v rámci tzv. „jednotného“ otvoreného trhu s potravinami. Nedostatočné podnikateľské prostredie a nedostupnosť rozvojových úverov spôsobili recesiu hospodárstva. </w:t>
      </w:r>
    </w:p>
    <w:p w:rsidR="00332909" w:rsidRDefault="00332909" w:rsidP="00332909">
      <w:pPr>
        <w:rPr>
          <w:rFonts w:cs="Times New Roman"/>
        </w:rPr>
      </w:pPr>
      <w:r>
        <w:rPr>
          <w:rFonts w:cs="Times New Roman"/>
        </w:rPr>
        <w:lastRenderedPageBreak/>
        <w:t xml:space="preserve">Hospodárstvo okresu Bardejov je v súčasnosti charakterizované priemyselno - poľnohospodárskou výrobou a rozvojom turizmu so súvisiacimi obchodnými činnosťami a službami. V oblasti priemyslu sú to najmä organizácie, ktoré zamestnávajú od 100 do 249 zamestnancov zamerané na spracovanie a konzervovanie mäsa, výrobu zariadení na kvapalný pohon, výrobu motorov a turbín okrem motorov pre lietadlá, autá a bicykle,  obrábanie, výrobu obuvi, výrobu náradia. Ďalej sú to menšie spoločnosti zamestnávajúce od 50 do 99 zamestnancov zamerané na výrobu ostatných dielov a príslušenstva pre motorové vozidlá, spracovanie a konzervovanie mäsa, dodávku pary a rozvod studeného vzduchu, obrábanie, výrobu ostatného vrchného ošatenia, výrobu pracovných odevov, obrábanie, spracovanie mäsových a hydinových mäsových výrobkov, výrobu ostatných kovových výrobkov. Z celkového počtu 2156 podnikov v okrese Bardejov za r. 2017 zobrazuje ich štruktúru </w:t>
      </w:r>
      <w:r w:rsidRPr="00B55BF9">
        <w:rPr>
          <w:rFonts w:cs="Times New Roman"/>
        </w:rPr>
        <w:t xml:space="preserve">(Tab. 10). </w:t>
      </w:r>
    </w:p>
    <w:p w:rsidR="00332909" w:rsidRDefault="00332909" w:rsidP="00332909">
      <w:pPr>
        <w:pStyle w:val="Popis"/>
        <w:keepNext/>
        <w:spacing w:after="0" w:line="276" w:lineRule="auto"/>
        <w:rPr>
          <w:rFonts w:cs="Times New Roman"/>
          <w:i w:val="0"/>
          <w:color w:val="auto"/>
          <w:sz w:val="20"/>
          <w:szCs w:val="22"/>
        </w:rPr>
      </w:pPr>
      <w:r>
        <w:rPr>
          <w:rFonts w:cs="Times New Roman"/>
          <w:i w:val="0"/>
          <w:color w:val="auto"/>
          <w:sz w:val="20"/>
          <w:szCs w:val="22"/>
        </w:rPr>
        <w:t xml:space="preserve">Tab. 10  </w:t>
      </w:r>
      <w:r>
        <w:rPr>
          <w:rFonts w:eastAsia="Times New Roman" w:cs="Times New Roman"/>
          <w:i w:val="0"/>
          <w:color w:val="auto"/>
          <w:sz w:val="22"/>
          <w:szCs w:val="22"/>
          <w:lang w:eastAsia="sk-SK"/>
        </w:rPr>
        <w:t>Podniky podľa veľkostnej kategórie počtu zamestnancov</w:t>
      </w:r>
      <w:r>
        <w:rPr>
          <w:rFonts w:cs="Times New Roman"/>
          <w:i w:val="0"/>
          <w:color w:val="auto"/>
          <w:sz w:val="20"/>
          <w:szCs w:val="22"/>
        </w:rPr>
        <w:t xml:space="preserve"> (v  % a v absolútnych hodnotách</w:t>
      </w:r>
      <w:r w:rsidRPr="00B55BF9">
        <w:rPr>
          <w:rFonts w:cs="Times New Roman"/>
          <w:i w:val="0"/>
          <w:color w:val="auto"/>
          <w:sz w:val="20"/>
          <w:szCs w:val="22"/>
        </w:rPr>
        <w:t>)</w:t>
      </w:r>
    </w:p>
    <w:tbl>
      <w:tblPr>
        <w:tblW w:w="6187" w:type="dxa"/>
        <w:tblInd w:w="212" w:type="dxa"/>
        <w:tblCellMar>
          <w:left w:w="70" w:type="dxa"/>
          <w:right w:w="70" w:type="dxa"/>
        </w:tblCellMar>
        <w:tblLook w:val="04A0" w:firstRow="1" w:lastRow="0" w:firstColumn="1" w:lastColumn="0" w:noHBand="0" w:noVBand="1"/>
      </w:tblPr>
      <w:tblGrid>
        <w:gridCol w:w="3761"/>
        <w:gridCol w:w="1256"/>
        <w:gridCol w:w="1170"/>
      </w:tblGrid>
      <w:tr w:rsidR="00332909" w:rsidTr="006D2E6D">
        <w:trPr>
          <w:trHeight w:val="743"/>
        </w:trPr>
        <w:tc>
          <w:tcPr>
            <w:tcW w:w="3761" w:type="dxa"/>
            <w:tcBorders>
              <w:top w:val="single" w:sz="8" w:space="0" w:color="auto"/>
              <w:left w:val="single" w:sz="8" w:space="0" w:color="auto"/>
              <w:bottom w:val="single" w:sz="8" w:space="0" w:color="auto"/>
              <w:right w:val="single" w:sz="4" w:space="0" w:color="auto"/>
            </w:tcBorders>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Podniky podľa veľkostnej kategórie počtu zamestnancov</w:t>
            </w:r>
          </w:p>
        </w:tc>
        <w:tc>
          <w:tcPr>
            <w:tcW w:w="1256" w:type="dxa"/>
            <w:tcBorders>
              <w:top w:val="single" w:sz="8" w:space="0" w:color="auto"/>
              <w:left w:val="nil"/>
              <w:bottom w:val="single" w:sz="8" w:space="0" w:color="auto"/>
              <w:right w:val="single" w:sz="4" w:space="0" w:color="auto"/>
            </w:tcBorders>
            <w:noWrap/>
            <w:vAlign w:val="center"/>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w:t>
            </w:r>
          </w:p>
        </w:tc>
        <w:tc>
          <w:tcPr>
            <w:tcW w:w="1170" w:type="dxa"/>
            <w:tcBorders>
              <w:top w:val="single" w:sz="8" w:space="0" w:color="auto"/>
              <w:left w:val="nil"/>
              <w:bottom w:val="single" w:sz="8" w:space="0" w:color="auto"/>
              <w:right w:val="single" w:sz="8" w:space="0" w:color="auto"/>
            </w:tcBorders>
            <w:noWrap/>
            <w:vAlign w:val="center"/>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počet</w:t>
            </w:r>
          </w:p>
        </w:tc>
      </w:tr>
      <w:tr w:rsidR="00332909" w:rsidTr="006D2E6D">
        <w:trPr>
          <w:trHeight w:val="283"/>
        </w:trPr>
        <w:tc>
          <w:tcPr>
            <w:tcW w:w="3761" w:type="dxa"/>
            <w:tcBorders>
              <w:top w:val="nil"/>
              <w:left w:val="single" w:sz="8" w:space="0" w:color="auto"/>
              <w:bottom w:val="single" w:sz="4" w:space="0" w:color="auto"/>
              <w:right w:val="single" w:sz="4" w:space="0" w:color="auto"/>
            </w:tcBorders>
            <w:noWrap/>
            <w:vAlign w:val="bottom"/>
            <w:hideMark/>
          </w:tcPr>
          <w:p w:rsidR="00332909" w:rsidRDefault="00332909">
            <w:pPr>
              <w:spacing w:after="0" w:line="240" w:lineRule="auto"/>
              <w:jc w:val="left"/>
              <w:rPr>
                <w:rFonts w:eastAsia="Times New Roman" w:cs="Times New Roman"/>
                <w:lang w:eastAsia="sk-SK"/>
              </w:rPr>
            </w:pPr>
            <w:r>
              <w:rPr>
                <w:rFonts w:eastAsia="Times New Roman" w:cs="Times New Roman"/>
                <w:lang w:eastAsia="sk-SK"/>
              </w:rPr>
              <w:t>0 - 49</w:t>
            </w:r>
          </w:p>
        </w:tc>
        <w:tc>
          <w:tcPr>
            <w:tcW w:w="1256"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57,8</w:t>
            </w:r>
          </w:p>
        </w:tc>
        <w:tc>
          <w:tcPr>
            <w:tcW w:w="1170" w:type="dxa"/>
            <w:tcBorders>
              <w:top w:val="nil"/>
              <w:left w:val="nil"/>
              <w:bottom w:val="single" w:sz="4" w:space="0" w:color="auto"/>
              <w:right w:val="single" w:sz="8"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1 247</w:t>
            </w:r>
          </w:p>
        </w:tc>
      </w:tr>
      <w:tr w:rsidR="00332909" w:rsidTr="006D2E6D">
        <w:trPr>
          <w:trHeight w:val="240"/>
        </w:trPr>
        <w:tc>
          <w:tcPr>
            <w:tcW w:w="3761" w:type="dxa"/>
            <w:tcBorders>
              <w:top w:val="nil"/>
              <w:left w:val="single" w:sz="8" w:space="0" w:color="auto"/>
              <w:bottom w:val="single" w:sz="4" w:space="0" w:color="auto"/>
              <w:right w:val="single" w:sz="4" w:space="0" w:color="auto"/>
            </w:tcBorders>
            <w:noWrap/>
            <w:vAlign w:val="bottom"/>
            <w:hideMark/>
          </w:tcPr>
          <w:p w:rsidR="00332909" w:rsidRDefault="00332909">
            <w:pPr>
              <w:spacing w:after="0" w:line="240" w:lineRule="auto"/>
              <w:jc w:val="left"/>
              <w:rPr>
                <w:rFonts w:eastAsia="Times New Roman" w:cs="Times New Roman"/>
                <w:lang w:eastAsia="sk-SK"/>
              </w:rPr>
            </w:pPr>
            <w:r>
              <w:rPr>
                <w:rFonts w:eastAsia="Times New Roman" w:cs="Times New Roman"/>
                <w:lang w:eastAsia="sk-SK"/>
              </w:rPr>
              <w:t>50 - 249</w:t>
            </w:r>
          </w:p>
        </w:tc>
        <w:tc>
          <w:tcPr>
            <w:tcW w:w="1256"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1,7</w:t>
            </w:r>
          </w:p>
        </w:tc>
        <w:tc>
          <w:tcPr>
            <w:tcW w:w="1170" w:type="dxa"/>
            <w:tcBorders>
              <w:top w:val="nil"/>
              <w:left w:val="nil"/>
              <w:bottom w:val="single" w:sz="4" w:space="0" w:color="auto"/>
              <w:right w:val="single" w:sz="8"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37</w:t>
            </w:r>
          </w:p>
        </w:tc>
      </w:tr>
      <w:tr w:rsidR="00332909" w:rsidTr="006D2E6D">
        <w:trPr>
          <w:trHeight w:val="283"/>
        </w:trPr>
        <w:tc>
          <w:tcPr>
            <w:tcW w:w="3761" w:type="dxa"/>
            <w:tcBorders>
              <w:top w:val="nil"/>
              <w:left w:val="single" w:sz="8" w:space="0" w:color="auto"/>
              <w:bottom w:val="single" w:sz="4" w:space="0" w:color="auto"/>
              <w:right w:val="single" w:sz="4" w:space="0" w:color="auto"/>
            </w:tcBorders>
            <w:noWrap/>
            <w:vAlign w:val="bottom"/>
            <w:hideMark/>
          </w:tcPr>
          <w:p w:rsidR="00332909" w:rsidRDefault="00332909">
            <w:pPr>
              <w:spacing w:after="0" w:line="240" w:lineRule="auto"/>
              <w:jc w:val="left"/>
              <w:rPr>
                <w:rFonts w:eastAsia="Times New Roman" w:cs="Times New Roman"/>
                <w:lang w:eastAsia="sk-SK"/>
              </w:rPr>
            </w:pPr>
            <w:r>
              <w:rPr>
                <w:rFonts w:eastAsia="Times New Roman" w:cs="Times New Roman"/>
                <w:lang w:eastAsia="sk-SK"/>
              </w:rPr>
              <w:t>250 - a viac</w:t>
            </w:r>
          </w:p>
        </w:tc>
        <w:tc>
          <w:tcPr>
            <w:tcW w:w="1256"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0,2</w:t>
            </w:r>
          </w:p>
        </w:tc>
        <w:tc>
          <w:tcPr>
            <w:tcW w:w="1170" w:type="dxa"/>
            <w:tcBorders>
              <w:top w:val="nil"/>
              <w:left w:val="nil"/>
              <w:bottom w:val="single" w:sz="4" w:space="0" w:color="auto"/>
              <w:right w:val="single" w:sz="8"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4</w:t>
            </w:r>
          </w:p>
        </w:tc>
      </w:tr>
      <w:tr w:rsidR="00332909" w:rsidTr="006D2E6D">
        <w:trPr>
          <w:trHeight w:val="283"/>
        </w:trPr>
        <w:tc>
          <w:tcPr>
            <w:tcW w:w="3761" w:type="dxa"/>
            <w:tcBorders>
              <w:top w:val="nil"/>
              <w:left w:val="single" w:sz="8" w:space="0" w:color="auto"/>
              <w:bottom w:val="single" w:sz="4" w:space="0" w:color="auto"/>
              <w:right w:val="single" w:sz="4" w:space="0" w:color="auto"/>
            </w:tcBorders>
            <w:noWrap/>
            <w:vAlign w:val="bottom"/>
            <w:hideMark/>
          </w:tcPr>
          <w:p w:rsidR="00332909" w:rsidRDefault="00332909">
            <w:pPr>
              <w:spacing w:after="0" w:line="240" w:lineRule="auto"/>
              <w:jc w:val="left"/>
              <w:rPr>
                <w:rFonts w:eastAsia="Times New Roman" w:cs="Times New Roman"/>
                <w:lang w:eastAsia="sk-SK"/>
              </w:rPr>
            </w:pPr>
            <w:r>
              <w:rPr>
                <w:rFonts w:eastAsia="Times New Roman" w:cs="Times New Roman"/>
                <w:lang w:eastAsia="sk-SK"/>
              </w:rPr>
              <w:t>nezistené</w:t>
            </w:r>
          </w:p>
        </w:tc>
        <w:tc>
          <w:tcPr>
            <w:tcW w:w="1256" w:type="dxa"/>
            <w:tcBorders>
              <w:top w:val="nil"/>
              <w:left w:val="nil"/>
              <w:bottom w:val="single" w:sz="4" w:space="0" w:color="auto"/>
              <w:right w:val="single" w:sz="4"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40,3</w:t>
            </w:r>
          </w:p>
        </w:tc>
        <w:tc>
          <w:tcPr>
            <w:tcW w:w="1170" w:type="dxa"/>
            <w:tcBorders>
              <w:top w:val="nil"/>
              <w:left w:val="nil"/>
              <w:bottom w:val="single" w:sz="4" w:space="0" w:color="auto"/>
              <w:right w:val="single" w:sz="8"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868</w:t>
            </w:r>
          </w:p>
        </w:tc>
      </w:tr>
      <w:tr w:rsidR="00332909" w:rsidTr="006D2E6D">
        <w:trPr>
          <w:trHeight w:val="382"/>
        </w:trPr>
        <w:tc>
          <w:tcPr>
            <w:tcW w:w="3761" w:type="dxa"/>
            <w:tcBorders>
              <w:top w:val="nil"/>
              <w:left w:val="single" w:sz="8" w:space="0" w:color="auto"/>
              <w:bottom w:val="single" w:sz="8" w:space="0" w:color="auto"/>
              <w:right w:val="single" w:sz="4" w:space="0" w:color="auto"/>
            </w:tcBorders>
            <w:noWrap/>
            <w:vAlign w:val="bottom"/>
            <w:hideMark/>
          </w:tcPr>
          <w:p w:rsidR="00332909" w:rsidRDefault="00332909">
            <w:pPr>
              <w:spacing w:after="0" w:line="240" w:lineRule="auto"/>
              <w:jc w:val="left"/>
              <w:rPr>
                <w:rFonts w:eastAsia="Times New Roman" w:cs="Times New Roman"/>
                <w:b/>
                <w:bCs/>
                <w:lang w:eastAsia="sk-SK"/>
              </w:rPr>
            </w:pPr>
            <w:r>
              <w:rPr>
                <w:rFonts w:eastAsia="Times New Roman" w:cs="Times New Roman"/>
                <w:b/>
                <w:bCs/>
                <w:lang w:eastAsia="sk-SK"/>
              </w:rPr>
              <w:t>Spolu</w:t>
            </w:r>
          </w:p>
        </w:tc>
        <w:tc>
          <w:tcPr>
            <w:tcW w:w="1256" w:type="dxa"/>
            <w:tcBorders>
              <w:top w:val="nil"/>
              <w:left w:val="nil"/>
              <w:bottom w:val="single" w:sz="8" w:space="0" w:color="auto"/>
              <w:right w:val="single" w:sz="4"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100,0</w:t>
            </w:r>
          </w:p>
        </w:tc>
        <w:tc>
          <w:tcPr>
            <w:tcW w:w="1170" w:type="dxa"/>
            <w:tcBorders>
              <w:top w:val="nil"/>
              <w:left w:val="nil"/>
              <w:bottom w:val="single" w:sz="8" w:space="0" w:color="auto"/>
              <w:right w:val="single" w:sz="8" w:space="0" w:color="auto"/>
            </w:tcBorders>
            <w:noWrap/>
            <w:vAlign w:val="bottom"/>
            <w:hideMark/>
          </w:tcPr>
          <w:p w:rsidR="00332909" w:rsidRDefault="00332909">
            <w:pPr>
              <w:spacing w:after="0" w:line="240" w:lineRule="auto"/>
              <w:jc w:val="center"/>
              <w:rPr>
                <w:rFonts w:eastAsia="Times New Roman" w:cs="Times New Roman"/>
                <w:lang w:eastAsia="sk-SK"/>
              </w:rPr>
            </w:pPr>
            <w:r>
              <w:rPr>
                <w:rFonts w:eastAsia="Times New Roman" w:cs="Times New Roman"/>
                <w:lang w:eastAsia="sk-SK"/>
              </w:rPr>
              <w:t>2156</w:t>
            </w:r>
          </w:p>
        </w:tc>
      </w:tr>
    </w:tbl>
    <w:p w:rsidR="00332909" w:rsidRDefault="00332909" w:rsidP="00332909">
      <w:pPr>
        <w:rPr>
          <w:rFonts w:cs="Times New Roman"/>
        </w:rPr>
      </w:pPr>
      <w:r>
        <w:rPr>
          <w:rFonts w:cs="Times New Roman"/>
          <w:sz w:val="20"/>
          <w:szCs w:val="20"/>
        </w:rPr>
        <w:t>Zdroj: ŠÚ SR, databáza DATAcube, Podnikové štatistiky</w:t>
      </w:r>
      <w:r>
        <w:rPr>
          <w:rFonts w:cs="Times New Roman"/>
        </w:rPr>
        <w:t xml:space="preserve"> </w:t>
      </w:r>
    </w:p>
    <w:p w:rsidR="00332909" w:rsidRDefault="00332909" w:rsidP="00332909">
      <w:pPr>
        <w:rPr>
          <w:rFonts w:cs="Times New Roman"/>
        </w:rPr>
      </w:pPr>
      <w:r>
        <w:rPr>
          <w:rFonts w:cs="Times New Roman"/>
        </w:rPr>
        <w:t>Z doterajších štatistických zisťovaní 60% podnikateľských subjektov so sídlom v okrese Bardejov má svoje sídlo v meste Bardejov. Značná časť priemyselnej produkcie okresu je sústredená v dvoch lokalitách priemyselných zón mesta Bardejov a obce Zborov.</w:t>
      </w:r>
    </w:p>
    <w:p w:rsidR="00332909" w:rsidRDefault="00332909" w:rsidP="006D2E6D">
      <w:pPr>
        <w:rPr>
          <w:rFonts w:cs="Times New Roman"/>
        </w:rPr>
      </w:pPr>
      <w:r>
        <w:rPr>
          <w:rFonts w:cs="Times New Roman"/>
        </w:rPr>
        <w:t xml:space="preserve">Priemyselná zóna Bardejov – Sever, ktorá leží v jeho severovýchodnej častí bola vytvorená revitalizáciou pôvodnej priemyselnej zóny čím sa vytvorili adekvátne podmienky pre príchod domácich i zahraničných investorov a prílev ich kapitálu. Skladá sa z dvoch priemyselných parkov a to : </w:t>
      </w:r>
      <w:r>
        <w:rPr>
          <w:rFonts w:cs="Times New Roman"/>
          <w:b/>
        </w:rPr>
        <w:t>hnedého priemyselného parku</w:t>
      </w:r>
      <w:r>
        <w:rPr>
          <w:rFonts w:cs="Times New Roman"/>
        </w:rPr>
        <w:t xml:space="preserve"> s úžitkovou plochou 1 354 ha a </w:t>
      </w:r>
      <w:r>
        <w:rPr>
          <w:rFonts w:cs="Times New Roman"/>
          <w:b/>
        </w:rPr>
        <w:t>zeleného priemyselného parku</w:t>
      </w:r>
      <w:r>
        <w:rPr>
          <w:rFonts w:cs="Times New Roman"/>
        </w:rPr>
        <w:t xml:space="preserve"> o celkovej výmere 88 ha. Územie hnedého priemyselného parku sa nachádza v severovýchodnej časti mesta a nadväzuje na existujúce plochy pre priemyselnú výrobu bývalého závodu JAS a.s. Bardejov. V rámci areálu zeleného priemyselného parku existujú možnosti výstavby výrobných priemyselných hál a skladových priestorov. Územie nemá žiadne environmentálne záťaže a nenachádza sa v zátopovom pásme. Priemyselný park v obci Zborov tvorí voľná plocha pripravená na výstavbu p</w:t>
      </w:r>
      <w:r w:rsidR="006D2E6D">
        <w:rPr>
          <w:rFonts w:cs="Times New Roman"/>
        </w:rPr>
        <w:t>re budúcich možných investorov.</w:t>
      </w:r>
    </w:p>
    <w:p w:rsidR="00332909" w:rsidRDefault="00332909" w:rsidP="00332909">
      <w:pPr>
        <w:pStyle w:val="Nadpis2"/>
        <w:shd w:val="clear" w:color="auto" w:fill="BFBFBF" w:themeFill="background1" w:themeFillShade="BF"/>
      </w:pPr>
      <w:bookmarkStart w:id="23" w:name="_Toc511211859"/>
      <w:bookmarkStart w:id="24" w:name="_Toc517084336"/>
      <w:r>
        <w:t>Poľnohospodárstvo a lesné hospodárstvo</w:t>
      </w:r>
      <w:bookmarkEnd w:id="23"/>
      <w:bookmarkEnd w:id="24"/>
    </w:p>
    <w:p w:rsidR="00332909" w:rsidRDefault="00332909" w:rsidP="006D2E6D">
      <w:pPr>
        <w:rPr>
          <w:rFonts w:cs="Times New Roman"/>
        </w:rPr>
      </w:pPr>
      <w:r>
        <w:rPr>
          <w:rFonts w:cs="Times New Roman"/>
        </w:rPr>
        <w:t xml:space="preserve">Podstatnú časť územia okresu tvorí poľnohospodárska pôda (Tab. 11). Jej výmera zaberá 44 548 ha čo je 47,6 % z celkovej výmery okresu. Z poľnohospodárskej pôdy tvorí 33,9 % orná pôda, čo v absolútnom vyjadrení predstavuje 15093 ha. </w:t>
      </w:r>
    </w:p>
    <w:p w:rsidR="00332909" w:rsidRDefault="00332909" w:rsidP="00332909">
      <w:pPr>
        <w:pStyle w:val="Popis"/>
        <w:keepNext/>
        <w:spacing w:after="0" w:line="276" w:lineRule="auto"/>
        <w:rPr>
          <w:rFonts w:cs="Times New Roman"/>
          <w:i w:val="0"/>
          <w:color w:val="auto"/>
          <w:sz w:val="20"/>
          <w:szCs w:val="22"/>
        </w:rPr>
      </w:pPr>
      <w:r>
        <w:rPr>
          <w:rFonts w:cs="Times New Roman"/>
          <w:i w:val="0"/>
          <w:color w:val="auto"/>
          <w:sz w:val="20"/>
          <w:szCs w:val="22"/>
        </w:rPr>
        <w:t>Tab. 11  Štruktúra pôdneho fondu na území okresu Bardejov</w:t>
      </w:r>
    </w:p>
    <w:tbl>
      <w:tblPr>
        <w:tblStyle w:val="Mriekatabuky"/>
        <w:tblW w:w="8898" w:type="dxa"/>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16"/>
        <w:gridCol w:w="2294"/>
        <w:gridCol w:w="2262"/>
        <w:gridCol w:w="1526"/>
      </w:tblGrid>
      <w:tr w:rsidR="00332909" w:rsidTr="00332909">
        <w:trPr>
          <w:trHeight w:val="284"/>
        </w:trPr>
        <w:tc>
          <w:tcPr>
            <w:tcW w:w="5110" w:type="dxa"/>
            <w:gridSpan w:val="2"/>
            <w:tcBorders>
              <w:top w:val="single" w:sz="12" w:space="0" w:color="auto"/>
              <w:left w:val="single" w:sz="12" w:space="0" w:color="auto"/>
              <w:bottom w:val="single" w:sz="12"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Pôdny fond</w:t>
            </w:r>
          </w:p>
        </w:tc>
        <w:tc>
          <w:tcPr>
            <w:tcW w:w="2262" w:type="dxa"/>
            <w:tcBorders>
              <w:top w:val="single" w:sz="12" w:space="0" w:color="auto"/>
              <w:left w:val="single" w:sz="4" w:space="0" w:color="auto"/>
              <w:bottom w:val="single" w:sz="12"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rozloha v ha</w:t>
            </w:r>
          </w:p>
        </w:tc>
        <w:tc>
          <w:tcPr>
            <w:tcW w:w="1526" w:type="dxa"/>
            <w:tcBorders>
              <w:top w:val="single" w:sz="12" w:space="0" w:color="auto"/>
              <w:left w:val="single" w:sz="4" w:space="0" w:color="auto"/>
              <w:bottom w:val="single" w:sz="12" w:space="0" w:color="auto"/>
              <w:right w:val="single" w:sz="12" w:space="0" w:color="auto"/>
            </w:tcBorders>
            <w:noWrap/>
            <w:hideMark/>
          </w:tcPr>
          <w:p w:rsidR="00332909" w:rsidRDefault="00332909">
            <w:pPr>
              <w:spacing w:after="0" w:line="276" w:lineRule="auto"/>
              <w:jc w:val="center"/>
              <w:rPr>
                <w:rFonts w:cs="Times New Roman"/>
              </w:rPr>
            </w:pPr>
            <w:r>
              <w:rPr>
                <w:rFonts w:cs="Times New Roman"/>
              </w:rPr>
              <w:t>rozloha v %</w:t>
            </w:r>
          </w:p>
        </w:tc>
      </w:tr>
      <w:tr w:rsidR="00332909" w:rsidTr="00332909">
        <w:trPr>
          <w:trHeight w:val="284"/>
        </w:trPr>
        <w:tc>
          <w:tcPr>
            <w:tcW w:w="2816" w:type="dxa"/>
            <w:vMerge w:val="restart"/>
            <w:tcBorders>
              <w:top w:val="single" w:sz="12" w:space="0" w:color="auto"/>
              <w:left w:val="single" w:sz="12" w:space="0" w:color="auto"/>
              <w:bottom w:val="single" w:sz="12" w:space="0" w:color="auto"/>
              <w:right w:val="single" w:sz="12" w:space="0" w:color="auto"/>
            </w:tcBorders>
            <w:noWrap/>
            <w:hideMark/>
          </w:tcPr>
          <w:p w:rsidR="00332909" w:rsidRDefault="00332909">
            <w:pPr>
              <w:spacing w:after="0" w:line="276" w:lineRule="auto"/>
              <w:rPr>
                <w:rFonts w:cs="Times New Roman"/>
              </w:rPr>
            </w:pPr>
            <w:r>
              <w:rPr>
                <w:rFonts w:cs="Times New Roman"/>
              </w:rPr>
              <w:t>Poľnohospodárska pôda</w:t>
            </w:r>
          </w:p>
        </w:tc>
        <w:tc>
          <w:tcPr>
            <w:tcW w:w="2294" w:type="dxa"/>
            <w:tcBorders>
              <w:top w:val="single" w:sz="12"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spolu</w:t>
            </w:r>
          </w:p>
        </w:tc>
        <w:tc>
          <w:tcPr>
            <w:tcW w:w="2262" w:type="dxa"/>
            <w:tcBorders>
              <w:top w:val="single" w:sz="12"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44 548</w:t>
            </w:r>
          </w:p>
        </w:tc>
        <w:tc>
          <w:tcPr>
            <w:tcW w:w="1526" w:type="dxa"/>
            <w:tcBorders>
              <w:top w:val="single" w:sz="12" w:space="0" w:color="auto"/>
              <w:left w:val="single" w:sz="4" w:space="0" w:color="auto"/>
              <w:bottom w:val="single" w:sz="4" w:space="0" w:color="auto"/>
              <w:right w:val="single" w:sz="12" w:space="0" w:color="auto"/>
            </w:tcBorders>
            <w:noWrap/>
            <w:hideMark/>
          </w:tcPr>
          <w:p w:rsidR="00332909" w:rsidRDefault="00332909">
            <w:pPr>
              <w:spacing w:after="0" w:line="276" w:lineRule="auto"/>
              <w:jc w:val="center"/>
              <w:rPr>
                <w:rFonts w:cs="Times New Roman"/>
              </w:rPr>
            </w:pPr>
            <w:r>
              <w:rPr>
                <w:rFonts w:cs="Times New Roman"/>
              </w:rPr>
              <w:t>47,6</w:t>
            </w:r>
          </w:p>
        </w:tc>
      </w:tr>
      <w:tr w:rsidR="00332909" w:rsidTr="00332909">
        <w:trPr>
          <w:trHeight w:val="28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orná pôda</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15 093</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33,9</w:t>
            </w:r>
          </w:p>
        </w:tc>
      </w:tr>
      <w:tr w:rsidR="00332909" w:rsidTr="00332909">
        <w:trPr>
          <w:trHeight w:val="28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chmeľnica</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0</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0,0</w:t>
            </w:r>
          </w:p>
        </w:tc>
      </w:tr>
      <w:tr w:rsidR="00332909" w:rsidTr="00332909">
        <w:trPr>
          <w:trHeight w:val="28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vinica</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0</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0,0</w:t>
            </w:r>
          </w:p>
        </w:tc>
      </w:tr>
      <w:tr w:rsidR="00332909" w:rsidTr="00332909">
        <w:trPr>
          <w:trHeight w:val="28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záhrada</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1 304</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2,9</w:t>
            </w:r>
          </w:p>
        </w:tc>
      </w:tr>
      <w:tr w:rsidR="00332909" w:rsidTr="00332909">
        <w:trPr>
          <w:trHeight w:val="28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ovocný sad</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110</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0,2</w:t>
            </w:r>
          </w:p>
        </w:tc>
      </w:tr>
      <w:tr w:rsidR="00332909" w:rsidTr="00332909">
        <w:trPr>
          <w:trHeight w:val="28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trvalý trávny porast</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28 041</w:t>
            </w:r>
          </w:p>
        </w:tc>
        <w:tc>
          <w:tcPr>
            <w:tcW w:w="1526" w:type="dxa"/>
            <w:tcBorders>
              <w:top w:val="single" w:sz="4" w:space="0" w:color="auto"/>
              <w:left w:val="single" w:sz="4" w:space="0" w:color="auto"/>
              <w:bottom w:val="single" w:sz="4" w:space="0" w:color="auto"/>
              <w:right w:val="single" w:sz="12" w:space="0" w:color="auto"/>
            </w:tcBorders>
            <w:noWrap/>
            <w:hideMark/>
          </w:tcPr>
          <w:p w:rsidR="00332909" w:rsidRDefault="00332909">
            <w:pPr>
              <w:spacing w:after="0" w:line="276" w:lineRule="auto"/>
              <w:jc w:val="center"/>
              <w:rPr>
                <w:rFonts w:cs="Times New Roman"/>
              </w:rPr>
            </w:pPr>
            <w:r>
              <w:rPr>
                <w:rFonts w:cs="Times New Roman"/>
              </w:rPr>
              <w:t>62,9</w:t>
            </w:r>
          </w:p>
        </w:tc>
      </w:tr>
      <w:tr w:rsidR="00332909" w:rsidTr="00332909">
        <w:trPr>
          <w:trHeight w:val="284"/>
        </w:trPr>
        <w:tc>
          <w:tcPr>
            <w:tcW w:w="2816" w:type="dxa"/>
            <w:vMerge w:val="restart"/>
            <w:tcBorders>
              <w:top w:val="single" w:sz="4" w:space="0" w:color="auto"/>
              <w:left w:val="single" w:sz="12" w:space="0" w:color="auto"/>
              <w:bottom w:val="single" w:sz="12" w:space="0" w:color="auto"/>
              <w:right w:val="single" w:sz="12" w:space="0" w:color="auto"/>
            </w:tcBorders>
            <w:noWrap/>
            <w:hideMark/>
          </w:tcPr>
          <w:p w:rsidR="00332909" w:rsidRDefault="00332909">
            <w:pPr>
              <w:spacing w:after="0" w:line="276" w:lineRule="auto"/>
              <w:rPr>
                <w:rFonts w:cs="Times New Roman"/>
              </w:rPr>
            </w:pPr>
            <w:r>
              <w:rPr>
                <w:rFonts w:cs="Times New Roman"/>
              </w:rPr>
              <w:t>Nepoľnohospodárska pôda</w:t>
            </w: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spolu</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49 043,0</w:t>
            </w:r>
          </w:p>
        </w:tc>
        <w:tc>
          <w:tcPr>
            <w:tcW w:w="1526" w:type="dxa"/>
            <w:tcBorders>
              <w:top w:val="single" w:sz="4" w:space="0" w:color="auto"/>
              <w:left w:val="single" w:sz="4" w:space="0" w:color="auto"/>
              <w:bottom w:val="single" w:sz="4" w:space="0" w:color="auto"/>
              <w:right w:val="single" w:sz="12" w:space="0" w:color="auto"/>
            </w:tcBorders>
            <w:noWrap/>
            <w:hideMark/>
          </w:tcPr>
          <w:p w:rsidR="00332909" w:rsidRDefault="00332909">
            <w:pPr>
              <w:spacing w:after="0" w:line="276" w:lineRule="auto"/>
              <w:jc w:val="center"/>
              <w:rPr>
                <w:rFonts w:cs="Times New Roman"/>
              </w:rPr>
            </w:pPr>
            <w:r>
              <w:rPr>
                <w:rFonts w:cs="Times New Roman"/>
              </w:rPr>
              <w:t>52,4</w:t>
            </w:r>
          </w:p>
        </w:tc>
      </w:tr>
      <w:tr w:rsidR="00332909" w:rsidTr="00332909">
        <w:trPr>
          <w:trHeight w:val="284"/>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lesný pozemok</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39 629</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80,8</w:t>
            </w:r>
          </w:p>
        </w:tc>
      </w:tr>
      <w:tr w:rsidR="00332909" w:rsidTr="00332909">
        <w:trPr>
          <w:trHeight w:val="284"/>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vodná plocha</w:t>
            </w:r>
          </w:p>
        </w:tc>
        <w:tc>
          <w:tcPr>
            <w:tcW w:w="2262" w:type="dxa"/>
            <w:tcBorders>
              <w:top w:val="single" w:sz="4" w:space="0" w:color="auto"/>
              <w:left w:val="single" w:sz="4" w:space="0" w:color="auto"/>
              <w:bottom w:val="single" w:sz="4"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2 087</w:t>
            </w:r>
          </w:p>
        </w:tc>
        <w:tc>
          <w:tcPr>
            <w:tcW w:w="1526" w:type="dxa"/>
            <w:tcBorders>
              <w:top w:val="single" w:sz="4" w:space="0" w:color="auto"/>
              <w:left w:val="single" w:sz="4" w:space="0" w:color="auto"/>
              <w:bottom w:val="single" w:sz="4"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4,3</w:t>
            </w:r>
          </w:p>
        </w:tc>
      </w:tr>
      <w:tr w:rsidR="00332909" w:rsidTr="00332909">
        <w:trPr>
          <w:trHeight w:val="284"/>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4" w:space="0" w:color="auto"/>
              <w:right w:val="single" w:sz="4" w:space="0" w:color="auto"/>
            </w:tcBorders>
            <w:noWrap/>
            <w:hideMark/>
          </w:tcPr>
          <w:p w:rsidR="00332909" w:rsidRDefault="00332909">
            <w:pPr>
              <w:spacing w:after="0" w:line="276" w:lineRule="auto"/>
              <w:rPr>
                <w:rFonts w:cs="Times New Roman"/>
              </w:rPr>
            </w:pPr>
            <w:r>
              <w:rPr>
                <w:rFonts w:cs="Times New Roman"/>
              </w:rPr>
              <w:t>zastavaná plocha a nádvorie</w:t>
            </w:r>
          </w:p>
        </w:tc>
        <w:tc>
          <w:tcPr>
            <w:tcW w:w="2262"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after="0" w:line="276" w:lineRule="auto"/>
              <w:jc w:val="center"/>
              <w:rPr>
                <w:rFonts w:cs="Times New Roman"/>
              </w:rPr>
            </w:pPr>
            <w:r>
              <w:rPr>
                <w:rFonts w:cs="Times New Roman"/>
              </w:rPr>
              <w:t>3 444</w:t>
            </w:r>
          </w:p>
        </w:tc>
        <w:tc>
          <w:tcPr>
            <w:tcW w:w="1526" w:type="dxa"/>
            <w:tcBorders>
              <w:top w:val="single" w:sz="4" w:space="0" w:color="auto"/>
              <w:left w:val="single" w:sz="4" w:space="0" w:color="auto"/>
              <w:bottom w:val="single" w:sz="4" w:space="0" w:color="auto"/>
              <w:right w:val="single" w:sz="12" w:space="0" w:color="auto"/>
            </w:tcBorders>
            <w:noWrap/>
            <w:vAlign w:val="center"/>
            <w:hideMark/>
          </w:tcPr>
          <w:p w:rsidR="00332909" w:rsidRDefault="00332909">
            <w:pPr>
              <w:spacing w:after="0" w:line="276" w:lineRule="auto"/>
              <w:jc w:val="center"/>
              <w:rPr>
                <w:rFonts w:cs="Times New Roman"/>
              </w:rPr>
            </w:pPr>
            <w:r>
              <w:rPr>
                <w:rFonts w:cs="Times New Roman"/>
              </w:rPr>
              <w:t>7,0</w:t>
            </w:r>
          </w:p>
        </w:tc>
      </w:tr>
      <w:tr w:rsidR="00332909" w:rsidTr="00332909">
        <w:trPr>
          <w:trHeight w:val="284"/>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332909" w:rsidRDefault="00332909">
            <w:pPr>
              <w:spacing w:after="0"/>
              <w:jc w:val="left"/>
              <w:rPr>
                <w:rFonts w:cs="Times New Roman"/>
              </w:rPr>
            </w:pPr>
          </w:p>
        </w:tc>
        <w:tc>
          <w:tcPr>
            <w:tcW w:w="2294" w:type="dxa"/>
            <w:tcBorders>
              <w:top w:val="single" w:sz="4" w:space="0" w:color="auto"/>
              <w:left w:val="single" w:sz="12" w:space="0" w:color="auto"/>
              <w:bottom w:val="single" w:sz="12" w:space="0" w:color="auto"/>
              <w:right w:val="single" w:sz="4" w:space="0" w:color="auto"/>
            </w:tcBorders>
            <w:noWrap/>
            <w:hideMark/>
          </w:tcPr>
          <w:p w:rsidR="00332909" w:rsidRDefault="00332909">
            <w:pPr>
              <w:spacing w:after="0" w:line="276" w:lineRule="auto"/>
              <w:rPr>
                <w:rFonts w:cs="Times New Roman"/>
              </w:rPr>
            </w:pPr>
            <w:r>
              <w:rPr>
                <w:rFonts w:cs="Times New Roman"/>
              </w:rPr>
              <w:t>ostatná plocha</w:t>
            </w:r>
          </w:p>
        </w:tc>
        <w:tc>
          <w:tcPr>
            <w:tcW w:w="2262" w:type="dxa"/>
            <w:tcBorders>
              <w:top w:val="single" w:sz="4" w:space="0" w:color="auto"/>
              <w:left w:val="single" w:sz="4" w:space="0" w:color="auto"/>
              <w:bottom w:val="single" w:sz="12" w:space="0" w:color="auto"/>
              <w:right w:val="single" w:sz="4" w:space="0" w:color="auto"/>
            </w:tcBorders>
            <w:noWrap/>
            <w:hideMark/>
          </w:tcPr>
          <w:p w:rsidR="00332909" w:rsidRDefault="00332909">
            <w:pPr>
              <w:spacing w:after="0" w:line="276" w:lineRule="auto"/>
              <w:jc w:val="center"/>
              <w:rPr>
                <w:rFonts w:cs="Times New Roman"/>
              </w:rPr>
            </w:pPr>
            <w:r>
              <w:rPr>
                <w:rFonts w:cs="Times New Roman"/>
              </w:rPr>
              <w:t>3 891</w:t>
            </w:r>
          </w:p>
        </w:tc>
        <w:tc>
          <w:tcPr>
            <w:tcW w:w="1526" w:type="dxa"/>
            <w:tcBorders>
              <w:top w:val="single" w:sz="4" w:space="0" w:color="auto"/>
              <w:left w:val="single" w:sz="4" w:space="0" w:color="auto"/>
              <w:bottom w:val="single" w:sz="12" w:space="0" w:color="auto"/>
              <w:right w:val="single" w:sz="12" w:space="0" w:color="auto"/>
            </w:tcBorders>
            <w:noWrap/>
            <w:vAlign w:val="bottom"/>
            <w:hideMark/>
          </w:tcPr>
          <w:p w:rsidR="00332909" w:rsidRDefault="00332909">
            <w:pPr>
              <w:spacing w:after="0" w:line="276" w:lineRule="auto"/>
              <w:jc w:val="center"/>
              <w:rPr>
                <w:rFonts w:cs="Times New Roman"/>
              </w:rPr>
            </w:pPr>
            <w:r>
              <w:rPr>
                <w:rFonts w:cs="Times New Roman"/>
              </w:rPr>
              <w:t>7,9</w:t>
            </w:r>
          </w:p>
        </w:tc>
      </w:tr>
    </w:tbl>
    <w:p w:rsidR="00332909" w:rsidRDefault="00332909" w:rsidP="00332909">
      <w:pPr>
        <w:spacing w:before="120"/>
        <w:rPr>
          <w:rFonts w:cs="Times New Roman"/>
          <w:sz w:val="20"/>
          <w:szCs w:val="20"/>
        </w:rPr>
      </w:pPr>
      <w:r>
        <w:rPr>
          <w:rFonts w:cs="Times New Roman"/>
          <w:sz w:val="20"/>
          <w:szCs w:val="20"/>
        </w:rPr>
        <w:t>Zdroj: OÚ Bardejov, Katastrálny odbor</w:t>
      </w:r>
    </w:p>
    <w:p w:rsidR="00332909" w:rsidRDefault="00332909" w:rsidP="00332909">
      <w:pPr>
        <w:spacing w:after="0"/>
        <w:ind w:firstLine="708"/>
        <w:rPr>
          <w:rFonts w:cs="Times New Roman"/>
        </w:rPr>
      </w:pPr>
      <w:r>
        <w:rPr>
          <w:rFonts w:cs="Times New Roman"/>
        </w:rPr>
        <w:t xml:space="preserve">Poľnohospodársku výrobu v okrese zabezpečuje 11 poľnohospodárskych družstiev, 26 spoločností s ručením obmedzeným a 19 samostatne hospodáriacich roľníkov. Poľnohospodárske podniky na území okresu Bardejov sú zamerané predovšetkým na prvovýrobu. </w:t>
      </w:r>
    </w:p>
    <w:p w:rsidR="00332909" w:rsidRDefault="00332909" w:rsidP="00332909">
      <w:pPr>
        <w:rPr>
          <w:rFonts w:cs="Times New Roman"/>
        </w:rPr>
      </w:pPr>
      <w:r>
        <w:rPr>
          <w:rFonts w:cs="Times New Roman"/>
        </w:rPr>
        <w:t xml:space="preserve">Rastlinná výroba produkuje a zabezpečuje predovšetkým obilniny (pšenica, jačmeň, raž, ovos, tritikale), olejniny (repka, slnečnica, sója), krmoviny (v zelenom a suchom) a byliny (hlavne ostropestrec). V živočíšnej výrobe je realizovaný najmä chov hovädzieho dobytka (kravy s trhovou produkciou mlieka, kravy bez trhovej produkcie mlieka, výkrm hovädzieho dobytka), chov oviec a chov ošípaných. Následne potravinársky priemysel v okrese sa zaoberá predovšetkým výrobou bravčového mäsa a spracovaním mäsa a výrobou mäsových výrobkov. Nepoľnohospodárska činnosť sa v družstvách i súkromných poľnohospodárskych firmách na celkovom objeme výroby podieľa len okrajovo. </w:t>
      </w:r>
    </w:p>
    <w:p w:rsidR="00332909" w:rsidRDefault="00332909" w:rsidP="00332909">
      <w:pPr>
        <w:rPr>
          <w:rFonts w:cs="Times New Roman"/>
        </w:rPr>
      </w:pPr>
      <w:r>
        <w:rPr>
          <w:rFonts w:cs="Times New Roman"/>
        </w:rPr>
        <w:t>Celková výmera lesného pôdneho fondu v okrese je 39629 ha, čo predstavuje 42,3 % jeho územia. V jestvujúcich lesoch prevládajú bukové porasty, niekde s prímesou jedle a smrečín, v malom rozsahu aj ostrovy borovicového lesa a zvyšky lužného lesa. Štruktúra lesov je podľa druhov vlastníctva najvyššie zastúpená štátnymi lesmi (34,7 %), súkromnými lesmi (30%), ďalej sú to lesy spoločenstiev (27,7%), lesy mestské a obecné (6,9%) a lesy cirkevné (0,7%). Produkcia dreva za r. 2017 predstavuje celkovo 144 845 m</w:t>
      </w:r>
      <w:r>
        <w:rPr>
          <w:rFonts w:cs="Times New Roman"/>
          <w:vertAlign w:val="superscript"/>
        </w:rPr>
        <w:t>3</w:t>
      </w:r>
      <w:r>
        <w:rPr>
          <w:rFonts w:cs="Times New Roman"/>
        </w:rPr>
        <w:t>. Údaje o tom koľko dreva sa spracuje v okrese a koľko sa vyvezie do zahraničia  štatistiky neuvádzajú.</w:t>
      </w:r>
    </w:p>
    <w:p w:rsidR="00332909" w:rsidRDefault="00332909" w:rsidP="00332909">
      <w:pPr>
        <w:autoSpaceDE w:val="0"/>
        <w:autoSpaceDN w:val="0"/>
        <w:adjustRightInd w:val="0"/>
        <w:spacing w:after="0"/>
        <w:rPr>
          <w:rFonts w:cs="Times New Roman"/>
        </w:rPr>
      </w:pPr>
      <w:r>
        <w:rPr>
          <w:rFonts w:cs="Times New Roman"/>
        </w:rPr>
        <w:t xml:space="preserve">Okres Bardejov má vytvorené podmienky a prostredie (Čergovské pohorie, Busov a časť Ľubovnianskej vrchoviny) na produkciu jedného z najkvalitnejších medov na svete, ktorým je jedľová medovica. V roku 2009 mu bola Slovenským zväzom včelárov Bratislava udelená ochranná známka „Slovenský med“ a v roku 2010 mu Ministerstvo pôdohospodárstva a rozvoja vidieka SR udelilo ocenenie „Značka kvality“. </w:t>
      </w:r>
    </w:p>
    <w:p w:rsidR="00332909" w:rsidRDefault="00332909" w:rsidP="00332909">
      <w:pPr>
        <w:pStyle w:val="Nadpis2"/>
        <w:shd w:val="clear" w:color="auto" w:fill="BFBFBF" w:themeFill="background1" w:themeFillShade="BF"/>
      </w:pPr>
      <w:bookmarkStart w:id="25" w:name="_Toc511211860"/>
      <w:bookmarkStart w:id="26" w:name="_Toc517084337"/>
      <w:r>
        <w:t>Vzdelávacia,  sociálna, zdravotnícka , kultúrno-spoločenská a športová infraštruktúra</w:t>
      </w:r>
      <w:bookmarkEnd w:id="25"/>
      <w:bookmarkEnd w:id="26"/>
    </w:p>
    <w:bookmarkEnd w:id="20"/>
    <w:p w:rsidR="00332909" w:rsidRDefault="00332909" w:rsidP="00332909">
      <w:pPr>
        <w:rPr>
          <w:rFonts w:cs="Times New Roman"/>
        </w:rPr>
      </w:pPr>
      <w:r>
        <w:rPr>
          <w:rFonts w:cs="Times New Roman"/>
        </w:rPr>
        <w:t xml:space="preserve">Žijeme v spoločnosti, ktorá vyžaduje vytváranie nových návykov a zručnosti, prispôsobovanie sa rýchlemu tempu rozvoja vo všetkých oblastiach života. Tieto požiadavky má napĺňať vzdelávací systém prostredníctvom siete škôl. Vzdelávaciu sieť v okrese tvorí 71 materských, 67 základných a 10 stredných škôl. </w:t>
      </w:r>
      <w:r>
        <w:rPr>
          <w:rFonts w:cs="Times New Roman"/>
          <w:b/>
        </w:rPr>
        <w:t>Sieť materských a základných škôl je v rámci územia okresu rozptýlená, avšak všetkých 10 stredných škôl sa nachádza v okresnom meste Bardejov.</w:t>
      </w:r>
      <w:r>
        <w:rPr>
          <w:rFonts w:cs="Times New Roman"/>
        </w:rPr>
        <w:t xml:space="preserve"> Údaje o počte škôl a žiakov podľa jednotlivých typov k začiatku školského roka 2016/2017 prezentuje </w:t>
      </w:r>
      <w:r w:rsidRPr="00B55BF9">
        <w:rPr>
          <w:rFonts w:cs="Times New Roman"/>
        </w:rPr>
        <w:t>(</w:t>
      </w:r>
      <w:r w:rsidR="00031D76">
        <w:fldChar w:fldCharType="begin"/>
      </w:r>
      <w:r w:rsidR="00031D76">
        <w:instrText xml:space="preserve"> REF _Ref488518974 \h  \* MERGEFORMAT </w:instrText>
      </w:r>
      <w:r w:rsidR="00031D76">
        <w:fldChar w:fldCharType="separate"/>
      </w:r>
      <w:r w:rsidR="005922EB" w:rsidRPr="005922EB">
        <w:rPr>
          <w:rFonts w:cs="Times New Roman"/>
        </w:rPr>
        <w:t xml:space="preserve">Tab. </w:t>
      </w:r>
      <w:r w:rsidR="00031D76">
        <w:fldChar w:fldCharType="end"/>
      </w:r>
      <w:r>
        <w:t>12)</w:t>
      </w:r>
      <w:r>
        <w:rPr>
          <w:rFonts w:cs="Times New Roman"/>
        </w:rPr>
        <w:t>.</w:t>
      </w:r>
    </w:p>
    <w:p w:rsidR="00332909" w:rsidRDefault="00332909" w:rsidP="00332909">
      <w:pPr>
        <w:rPr>
          <w:rFonts w:cs="Times New Roman"/>
        </w:rPr>
      </w:pPr>
    </w:p>
    <w:p w:rsidR="00332909" w:rsidRDefault="00332909" w:rsidP="00332909">
      <w:pPr>
        <w:pStyle w:val="Popis"/>
        <w:keepNext/>
        <w:spacing w:after="0" w:line="276" w:lineRule="auto"/>
        <w:rPr>
          <w:rFonts w:cs="Times New Roman"/>
          <w:i w:val="0"/>
          <w:color w:val="auto"/>
          <w:sz w:val="20"/>
          <w:szCs w:val="22"/>
        </w:rPr>
      </w:pPr>
      <w:bookmarkStart w:id="27" w:name="_Ref488518974"/>
      <w:r>
        <w:rPr>
          <w:rFonts w:cs="Times New Roman"/>
          <w:i w:val="0"/>
          <w:color w:val="auto"/>
          <w:sz w:val="20"/>
          <w:szCs w:val="22"/>
        </w:rPr>
        <w:lastRenderedPageBreak/>
        <w:t xml:space="preserve">Tab. </w:t>
      </w:r>
      <w:bookmarkEnd w:id="27"/>
      <w:r>
        <w:rPr>
          <w:rFonts w:cs="Times New Roman"/>
          <w:i w:val="0"/>
          <w:color w:val="auto"/>
          <w:sz w:val="20"/>
          <w:szCs w:val="22"/>
        </w:rPr>
        <w:t>12 Prehľad počtu škôl a žiakov podľa jednotlivých typov škôl v školskom roku 2016/2017</w:t>
      </w:r>
    </w:p>
    <w:tbl>
      <w:tblPr>
        <w:tblStyle w:val="Mriekatabuky"/>
        <w:tblpPr w:leftFromText="141" w:rightFromText="141" w:vertAnchor="text" w:horzAnchor="margin" w:tblpX="108" w:tblpY="95"/>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85"/>
        <w:gridCol w:w="507"/>
        <w:gridCol w:w="696"/>
        <w:gridCol w:w="900"/>
        <w:gridCol w:w="696"/>
        <w:gridCol w:w="451"/>
        <w:gridCol w:w="716"/>
        <w:gridCol w:w="900"/>
        <w:gridCol w:w="696"/>
        <w:gridCol w:w="451"/>
        <w:gridCol w:w="696"/>
        <w:gridCol w:w="900"/>
        <w:gridCol w:w="696"/>
      </w:tblGrid>
      <w:tr w:rsidR="00332909" w:rsidTr="00332909">
        <w:tc>
          <w:tcPr>
            <w:tcW w:w="885" w:type="dxa"/>
            <w:tcBorders>
              <w:top w:val="single" w:sz="12" w:space="0" w:color="auto"/>
              <w:left w:val="single" w:sz="12" w:space="0" w:color="auto"/>
              <w:bottom w:val="single" w:sz="12" w:space="0" w:color="auto"/>
              <w:right w:val="single" w:sz="4" w:space="0" w:color="auto"/>
            </w:tcBorders>
          </w:tcPr>
          <w:p w:rsidR="00332909" w:rsidRDefault="00332909">
            <w:pPr>
              <w:spacing w:after="40" w:line="276" w:lineRule="auto"/>
              <w:rPr>
                <w:rFonts w:cs="Times New Roman"/>
                <w:sz w:val="20"/>
                <w:szCs w:val="20"/>
              </w:rPr>
            </w:pPr>
          </w:p>
        </w:tc>
        <w:tc>
          <w:tcPr>
            <w:tcW w:w="507"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line="276" w:lineRule="auto"/>
              <w:jc w:val="center"/>
              <w:rPr>
                <w:rFonts w:cs="Times New Roman"/>
                <w:sz w:val="18"/>
                <w:szCs w:val="20"/>
              </w:rPr>
            </w:pPr>
            <w:r>
              <w:rPr>
                <w:rFonts w:cs="Times New Roman"/>
                <w:sz w:val="18"/>
                <w:szCs w:val="20"/>
              </w:rPr>
              <w:t>MŠ</w:t>
            </w:r>
          </w:p>
        </w:tc>
        <w:tc>
          <w:tcPr>
            <w:tcW w:w="678"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Počet</w:t>
            </w:r>
          </w:p>
          <w:p w:rsidR="00332909" w:rsidRDefault="00332909">
            <w:pPr>
              <w:spacing w:after="40" w:line="276" w:lineRule="auto"/>
              <w:jc w:val="center"/>
              <w:rPr>
                <w:rFonts w:cs="Times New Roman"/>
                <w:sz w:val="18"/>
                <w:szCs w:val="20"/>
              </w:rPr>
            </w:pPr>
            <w:r>
              <w:rPr>
                <w:rFonts w:cs="Times New Roman"/>
                <w:sz w:val="18"/>
                <w:szCs w:val="20"/>
              </w:rPr>
              <w:t>žiakov</w:t>
            </w:r>
          </w:p>
        </w:tc>
        <w:tc>
          <w:tcPr>
            <w:tcW w:w="900"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MŠ</w:t>
            </w:r>
          </w:p>
          <w:p w:rsidR="00332909" w:rsidRDefault="00332909">
            <w:pPr>
              <w:spacing w:after="40" w:line="276" w:lineRule="auto"/>
              <w:jc w:val="center"/>
              <w:rPr>
                <w:rFonts w:cs="Times New Roman"/>
                <w:sz w:val="18"/>
                <w:szCs w:val="20"/>
              </w:rPr>
            </w:pPr>
            <w:r>
              <w:rPr>
                <w:rFonts w:cs="Times New Roman"/>
                <w:sz w:val="18"/>
                <w:szCs w:val="20"/>
              </w:rPr>
              <w:t>špeciálne</w:t>
            </w:r>
          </w:p>
        </w:tc>
        <w:tc>
          <w:tcPr>
            <w:tcW w:w="678"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Počet</w:t>
            </w:r>
          </w:p>
          <w:p w:rsidR="00332909" w:rsidRDefault="00332909">
            <w:pPr>
              <w:spacing w:after="40" w:line="276" w:lineRule="auto"/>
              <w:jc w:val="center"/>
              <w:rPr>
                <w:rFonts w:cs="Times New Roman"/>
                <w:sz w:val="18"/>
                <w:szCs w:val="20"/>
              </w:rPr>
            </w:pPr>
            <w:r>
              <w:rPr>
                <w:rFonts w:cs="Times New Roman"/>
                <w:sz w:val="18"/>
                <w:szCs w:val="20"/>
              </w:rPr>
              <w:t>žiakov</w:t>
            </w:r>
          </w:p>
        </w:tc>
        <w:tc>
          <w:tcPr>
            <w:tcW w:w="451"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line="276" w:lineRule="auto"/>
              <w:jc w:val="center"/>
              <w:rPr>
                <w:rFonts w:cs="Times New Roman"/>
                <w:sz w:val="18"/>
                <w:szCs w:val="20"/>
              </w:rPr>
            </w:pPr>
            <w:r>
              <w:rPr>
                <w:rFonts w:cs="Times New Roman"/>
                <w:sz w:val="18"/>
                <w:szCs w:val="20"/>
              </w:rPr>
              <w:t>ZŠ</w:t>
            </w:r>
          </w:p>
        </w:tc>
        <w:tc>
          <w:tcPr>
            <w:tcW w:w="678"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Počet</w:t>
            </w:r>
          </w:p>
          <w:p w:rsidR="00332909" w:rsidRDefault="00332909">
            <w:pPr>
              <w:spacing w:after="40" w:line="276" w:lineRule="auto"/>
              <w:jc w:val="center"/>
              <w:rPr>
                <w:rFonts w:cs="Times New Roman"/>
                <w:sz w:val="18"/>
                <w:szCs w:val="20"/>
              </w:rPr>
            </w:pPr>
            <w:r>
              <w:rPr>
                <w:rFonts w:cs="Times New Roman"/>
                <w:sz w:val="18"/>
                <w:szCs w:val="20"/>
              </w:rPr>
              <w:t>žiakov</w:t>
            </w:r>
          </w:p>
        </w:tc>
        <w:tc>
          <w:tcPr>
            <w:tcW w:w="900"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ZŠ</w:t>
            </w:r>
          </w:p>
          <w:p w:rsidR="00332909" w:rsidRDefault="00332909">
            <w:pPr>
              <w:spacing w:after="40" w:line="276" w:lineRule="auto"/>
              <w:jc w:val="center"/>
              <w:rPr>
                <w:rFonts w:cs="Times New Roman"/>
                <w:sz w:val="18"/>
                <w:szCs w:val="20"/>
              </w:rPr>
            </w:pPr>
            <w:r>
              <w:rPr>
                <w:rFonts w:cs="Times New Roman"/>
                <w:sz w:val="18"/>
                <w:szCs w:val="20"/>
              </w:rPr>
              <w:t>špeciálne</w:t>
            </w:r>
          </w:p>
        </w:tc>
        <w:tc>
          <w:tcPr>
            <w:tcW w:w="678"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Počet</w:t>
            </w:r>
          </w:p>
          <w:p w:rsidR="00332909" w:rsidRDefault="00332909">
            <w:pPr>
              <w:spacing w:after="40" w:line="276" w:lineRule="auto"/>
              <w:jc w:val="center"/>
              <w:rPr>
                <w:rFonts w:cs="Times New Roman"/>
                <w:sz w:val="18"/>
                <w:szCs w:val="20"/>
              </w:rPr>
            </w:pPr>
            <w:r>
              <w:rPr>
                <w:rFonts w:cs="Times New Roman"/>
                <w:sz w:val="18"/>
                <w:szCs w:val="20"/>
              </w:rPr>
              <w:t>žiakov</w:t>
            </w:r>
          </w:p>
        </w:tc>
        <w:tc>
          <w:tcPr>
            <w:tcW w:w="451"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line="276" w:lineRule="auto"/>
              <w:jc w:val="center"/>
              <w:rPr>
                <w:rFonts w:cs="Times New Roman"/>
                <w:sz w:val="18"/>
                <w:szCs w:val="20"/>
              </w:rPr>
            </w:pPr>
            <w:r>
              <w:rPr>
                <w:rFonts w:cs="Times New Roman"/>
                <w:sz w:val="18"/>
                <w:szCs w:val="20"/>
              </w:rPr>
              <w:t>SŠ</w:t>
            </w:r>
          </w:p>
        </w:tc>
        <w:tc>
          <w:tcPr>
            <w:tcW w:w="678"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Počet</w:t>
            </w:r>
          </w:p>
          <w:p w:rsidR="00332909" w:rsidRDefault="00332909">
            <w:pPr>
              <w:spacing w:after="40" w:line="276" w:lineRule="auto"/>
              <w:jc w:val="center"/>
              <w:rPr>
                <w:rFonts w:cs="Times New Roman"/>
                <w:sz w:val="18"/>
                <w:szCs w:val="20"/>
              </w:rPr>
            </w:pPr>
            <w:r>
              <w:rPr>
                <w:rFonts w:cs="Times New Roman"/>
                <w:sz w:val="18"/>
                <w:szCs w:val="20"/>
              </w:rPr>
              <w:t>žiakov</w:t>
            </w:r>
          </w:p>
        </w:tc>
        <w:tc>
          <w:tcPr>
            <w:tcW w:w="900" w:type="dxa"/>
            <w:tcBorders>
              <w:top w:val="single" w:sz="12" w:space="0" w:color="auto"/>
              <w:left w:val="single" w:sz="4" w:space="0" w:color="auto"/>
              <w:bottom w:val="single" w:sz="12" w:space="0" w:color="auto"/>
              <w:right w:val="single" w:sz="4" w:space="0" w:color="auto"/>
            </w:tcBorders>
            <w:hideMark/>
          </w:tcPr>
          <w:p w:rsidR="00332909" w:rsidRDefault="00332909">
            <w:pPr>
              <w:spacing w:after="40"/>
              <w:jc w:val="center"/>
              <w:rPr>
                <w:rFonts w:cs="Times New Roman"/>
                <w:sz w:val="18"/>
                <w:szCs w:val="20"/>
              </w:rPr>
            </w:pPr>
            <w:r>
              <w:rPr>
                <w:rFonts w:cs="Times New Roman"/>
                <w:sz w:val="18"/>
                <w:szCs w:val="20"/>
              </w:rPr>
              <w:t>SŠ</w:t>
            </w:r>
          </w:p>
          <w:p w:rsidR="00332909" w:rsidRDefault="00332909">
            <w:pPr>
              <w:spacing w:after="40" w:line="276" w:lineRule="auto"/>
              <w:jc w:val="center"/>
              <w:rPr>
                <w:rFonts w:cs="Times New Roman"/>
                <w:sz w:val="18"/>
                <w:szCs w:val="20"/>
              </w:rPr>
            </w:pPr>
            <w:r>
              <w:rPr>
                <w:rFonts w:cs="Times New Roman"/>
                <w:sz w:val="18"/>
                <w:szCs w:val="20"/>
              </w:rPr>
              <w:t>špeciálne</w:t>
            </w:r>
          </w:p>
        </w:tc>
        <w:tc>
          <w:tcPr>
            <w:tcW w:w="678" w:type="dxa"/>
            <w:tcBorders>
              <w:top w:val="single" w:sz="12" w:space="0" w:color="auto"/>
              <w:left w:val="single" w:sz="4" w:space="0" w:color="auto"/>
              <w:bottom w:val="single" w:sz="12" w:space="0" w:color="auto"/>
              <w:right w:val="single" w:sz="12" w:space="0" w:color="auto"/>
            </w:tcBorders>
            <w:hideMark/>
          </w:tcPr>
          <w:p w:rsidR="00332909" w:rsidRDefault="00332909">
            <w:pPr>
              <w:spacing w:after="40"/>
              <w:jc w:val="center"/>
              <w:rPr>
                <w:rFonts w:cs="Times New Roman"/>
                <w:sz w:val="18"/>
                <w:szCs w:val="20"/>
              </w:rPr>
            </w:pPr>
            <w:r>
              <w:rPr>
                <w:rFonts w:cs="Times New Roman"/>
                <w:sz w:val="18"/>
                <w:szCs w:val="20"/>
              </w:rPr>
              <w:t>Počet</w:t>
            </w:r>
          </w:p>
          <w:p w:rsidR="00332909" w:rsidRDefault="00332909">
            <w:pPr>
              <w:spacing w:after="40" w:line="276" w:lineRule="auto"/>
              <w:jc w:val="center"/>
              <w:rPr>
                <w:rFonts w:cs="Times New Roman"/>
                <w:sz w:val="18"/>
                <w:szCs w:val="20"/>
              </w:rPr>
            </w:pPr>
            <w:r>
              <w:rPr>
                <w:rFonts w:cs="Times New Roman"/>
                <w:sz w:val="18"/>
                <w:szCs w:val="20"/>
              </w:rPr>
              <w:t>žiakov</w:t>
            </w:r>
          </w:p>
        </w:tc>
      </w:tr>
      <w:tr w:rsidR="00332909" w:rsidTr="00332909">
        <w:tc>
          <w:tcPr>
            <w:tcW w:w="885" w:type="dxa"/>
            <w:tcBorders>
              <w:top w:val="single" w:sz="12" w:space="0" w:color="auto"/>
              <w:left w:val="single" w:sz="12" w:space="0" w:color="auto"/>
              <w:bottom w:val="single" w:sz="4" w:space="0" w:color="auto"/>
              <w:right w:val="single" w:sz="12" w:space="0" w:color="auto"/>
            </w:tcBorders>
            <w:hideMark/>
          </w:tcPr>
          <w:p w:rsidR="00332909" w:rsidRDefault="00332909">
            <w:pPr>
              <w:spacing w:after="40" w:line="276" w:lineRule="auto"/>
              <w:rPr>
                <w:rFonts w:cs="Times New Roman"/>
                <w:sz w:val="18"/>
                <w:szCs w:val="20"/>
              </w:rPr>
            </w:pPr>
            <w:r>
              <w:rPr>
                <w:rFonts w:cs="Times New Roman"/>
                <w:sz w:val="18"/>
                <w:szCs w:val="20"/>
              </w:rPr>
              <w:t>Štátne</w:t>
            </w:r>
          </w:p>
        </w:tc>
        <w:tc>
          <w:tcPr>
            <w:tcW w:w="507" w:type="dxa"/>
            <w:tcBorders>
              <w:top w:val="single" w:sz="12" w:space="0" w:color="auto"/>
              <w:left w:val="single" w:sz="12" w:space="0" w:color="auto"/>
              <w:bottom w:val="single" w:sz="4" w:space="0" w:color="auto"/>
              <w:right w:val="single" w:sz="4" w:space="0" w:color="auto"/>
            </w:tcBorders>
            <w:vAlign w:val="center"/>
            <w:hideMark/>
          </w:tcPr>
          <w:p w:rsidR="00332909" w:rsidRDefault="00332909">
            <w:pPr>
              <w:spacing w:after="40" w:line="276" w:lineRule="auto"/>
              <w:rPr>
                <w:rFonts w:cs="Times New Roman"/>
                <w:sz w:val="20"/>
                <w:szCs w:val="20"/>
              </w:rPr>
            </w:pPr>
            <w:r>
              <w:rPr>
                <w:rFonts w:cs="Times New Roman"/>
                <w:sz w:val="20"/>
                <w:szCs w:val="20"/>
              </w:rPr>
              <w:t>66</w:t>
            </w:r>
          </w:p>
        </w:tc>
        <w:tc>
          <w:tcPr>
            <w:tcW w:w="67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2046</w:t>
            </w:r>
          </w:p>
        </w:tc>
        <w:tc>
          <w:tcPr>
            <w:tcW w:w="900"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w:t>
            </w:r>
          </w:p>
        </w:tc>
        <w:tc>
          <w:tcPr>
            <w:tcW w:w="67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20</w:t>
            </w:r>
          </w:p>
        </w:tc>
        <w:tc>
          <w:tcPr>
            <w:tcW w:w="451"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57</w:t>
            </w:r>
          </w:p>
        </w:tc>
        <w:tc>
          <w:tcPr>
            <w:tcW w:w="67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7925</w:t>
            </w:r>
          </w:p>
        </w:tc>
        <w:tc>
          <w:tcPr>
            <w:tcW w:w="900"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3</w:t>
            </w:r>
          </w:p>
        </w:tc>
        <w:tc>
          <w:tcPr>
            <w:tcW w:w="67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226</w:t>
            </w:r>
          </w:p>
        </w:tc>
        <w:tc>
          <w:tcPr>
            <w:tcW w:w="451"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8</w:t>
            </w:r>
          </w:p>
        </w:tc>
        <w:tc>
          <w:tcPr>
            <w:tcW w:w="678"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2514</w:t>
            </w:r>
          </w:p>
        </w:tc>
        <w:tc>
          <w:tcPr>
            <w:tcW w:w="900" w:type="dxa"/>
            <w:tcBorders>
              <w:top w:val="single" w:sz="12"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w:t>
            </w:r>
          </w:p>
        </w:tc>
        <w:tc>
          <w:tcPr>
            <w:tcW w:w="678" w:type="dxa"/>
            <w:tcBorders>
              <w:top w:val="single" w:sz="12" w:space="0" w:color="auto"/>
              <w:left w:val="single" w:sz="4" w:space="0" w:color="auto"/>
              <w:bottom w:val="single" w:sz="4" w:space="0" w:color="auto"/>
              <w:right w:val="single" w:sz="12"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19</w:t>
            </w:r>
          </w:p>
        </w:tc>
      </w:tr>
      <w:tr w:rsidR="00332909" w:rsidTr="00332909">
        <w:tc>
          <w:tcPr>
            <w:tcW w:w="885" w:type="dxa"/>
            <w:tcBorders>
              <w:top w:val="single" w:sz="4" w:space="0" w:color="auto"/>
              <w:left w:val="single" w:sz="12" w:space="0" w:color="auto"/>
              <w:bottom w:val="single" w:sz="4" w:space="0" w:color="auto"/>
              <w:right w:val="single" w:sz="12" w:space="0" w:color="auto"/>
            </w:tcBorders>
            <w:hideMark/>
          </w:tcPr>
          <w:p w:rsidR="00332909" w:rsidRDefault="00332909">
            <w:pPr>
              <w:spacing w:after="40" w:line="276" w:lineRule="auto"/>
              <w:rPr>
                <w:rFonts w:cs="Times New Roman"/>
                <w:sz w:val="18"/>
                <w:szCs w:val="20"/>
              </w:rPr>
            </w:pPr>
            <w:r>
              <w:rPr>
                <w:rFonts w:cs="Times New Roman"/>
                <w:sz w:val="18"/>
                <w:szCs w:val="20"/>
              </w:rPr>
              <w:t>Neštátne</w:t>
            </w:r>
          </w:p>
        </w:tc>
        <w:tc>
          <w:tcPr>
            <w:tcW w:w="507" w:type="dxa"/>
            <w:tcBorders>
              <w:top w:val="single" w:sz="4" w:space="0" w:color="auto"/>
              <w:left w:val="single" w:sz="12" w:space="0" w:color="auto"/>
              <w:bottom w:val="single" w:sz="4" w:space="0" w:color="auto"/>
              <w:right w:val="single" w:sz="4" w:space="0" w:color="auto"/>
            </w:tcBorders>
            <w:vAlign w:val="center"/>
            <w:hideMark/>
          </w:tcPr>
          <w:p w:rsidR="00332909" w:rsidRDefault="00332909">
            <w:pPr>
              <w:spacing w:after="40" w:line="276" w:lineRule="auto"/>
              <w:rPr>
                <w:rFonts w:cs="Times New Roman"/>
                <w:sz w:val="20"/>
                <w:szCs w:val="20"/>
              </w:rPr>
            </w:pPr>
            <w:r>
              <w:rPr>
                <w:rFonts w:cs="Times New Roman"/>
                <w:sz w:val="20"/>
                <w:szCs w:val="20"/>
              </w:rPr>
              <w:t>3</w:t>
            </w:r>
          </w:p>
        </w:tc>
        <w:tc>
          <w:tcPr>
            <w:tcW w:w="67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130</w:t>
            </w:r>
          </w:p>
        </w:tc>
        <w:tc>
          <w:tcPr>
            <w:tcW w:w="90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0</w:t>
            </w:r>
          </w:p>
        </w:tc>
        <w:tc>
          <w:tcPr>
            <w:tcW w:w="67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0</w:t>
            </w:r>
          </w:p>
        </w:tc>
        <w:tc>
          <w:tcPr>
            <w:tcW w:w="451"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7</w:t>
            </w:r>
          </w:p>
        </w:tc>
        <w:tc>
          <w:tcPr>
            <w:tcW w:w="67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2791</w:t>
            </w:r>
          </w:p>
        </w:tc>
        <w:tc>
          <w:tcPr>
            <w:tcW w:w="90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0</w:t>
            </w:r>
          </w:p>
        </w:tc>
        <w:tc>
          <w:tcPr>
            <w:tcW w:w="67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0</w:t>
            </w:r>
          </w:p>
        </w:tc>
        <w:tc>
          <w:tcPr>
            <w:tcW w:w="451"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w:t>
            </w:r>
          </w:p>
        </w:tc>
        <w:tc>
          <w:tcPr>
            <w:tcW w:w="678"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163</w:t>
            </w:r>
          </w:p>
        </w:tc>
        <w:tc>
          <w:tcPr>
            <w:tcW w:w="90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0</w:t>
            </w:r>
          </w:p>
        </w:tc>
        <w:tc>
          <w:tcPr>
            <w:tcW w:w="678" w:type="dxa"/>
            <w:tcBorders>
              <w:top w:val="single" w:sz="4" w:space="0" w:color="auto"/>
              <w:left w:val="single" w:sz="4" w:space="0" w:color="auto"/>
              <w:bottom w:val="single" w:sz="4" w:space="0" w:color="auto"/>
              <w:right w:val="single" w:sz="12"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0</w:t>
            </w:r>
          </w:p>
        </w:tc>
      </w:tr>
      <w:tr w:rsidR="00332909" w:rsidTr="00332909">
        <w:tc>
          <w:tcPr>
            <w:tcW w:w="885" w:type="dxa"/>
            <w:tcBorders>
              <w:top w:val="single" w:sz="4" w:space="0" w:color="auto"/>
              <w:left w:val="single" w:sz="12" w:space="0" w:color="auto"/>
              <w:bottom w:val="single" w:sz="12" w:space="0" w:color="auto"/>
              <w:right w:val="single" w:sz="12" w:space="0" w:color="auto"/>
            </w:tcBorders>
            <w:hideMark/>
          </w:tcPr>
          <w:p w:rsidR="00332909" w:rsidRDefault="00332909">
            <w:pPr>
              <w:spacing w:after="40" w:line="276" w:lineRule="auto"/>
              <w:rPr>
                <w:rFonts w:cs="Times New Roman"/>
                <w:sz w:val="18"/>
                <w:szCs w:val="20"/>
              </w:rPr>
            </w:pPr>
            <w:r>
              <w:rPr>
                <w:rFonts w:cs="Times New Roman"/>
                <w:sz w:val="18"/>
                <w:szCs w:val="20"/>
              </w:rPr>
              <w:t>Spolu</w:t>
            </w:r>
          </w:p>
        </w:tc>
        <w:tc>
          <w:tcPr>
            <w:tcW w:w="507" w:type="dxa"/>
            <w:tcBorders>
              <w:top w:val="single" w:sz="4" w:space="0" w:color="auto"/>
              <w:left w:val="single" w:sz="12" w:space="0" w:color="auto"/>
              <w:bottom w:val="single" w:sz="12" w:space="0" w:color="auto"/>
              <w:right w:val="single" w:sz="4" w:space="0" w:color="auto"/>
            </w:tcBorders>
            <w:vAlign w:val="center"/>
            <w:hideMark/>
          </w:tcPr>
          <w:p w:rsidR="00332909" w:rsidRDefault="00332909">
            <w:pPr>
              <w:spacing w:after="40" w:line="276" w:lineRule="auto"/>
              <w:rPr>
                <w:rFonts w:cs="Times New Roman"/>
                <w:sz w:val="20"/>
                <w:szCs w:val="20"/>
              </w:rPr>
            </w:pPr>
            <w:r>
              <w:rPr>
                <w:rFonts w:cs="Times New Roman"/>
                <w:sz w:val="20"/>
                <w:szCs w:val="20"/>
              </w:rPr>
              <w:t>69</w:t>
            </w:r>
          </w:p>
        </w:tc>
        <w:tc>
          <w:tcPr>
            <w:tcW w:w="678"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2176</w:t>
            </w:r>
          </w:p>
        </w:tc>
        <w:tc>
          <w:tcPr>
            <w:tcW w:w="900"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w:t>
            </w:r>
          </w:p>
        </w:tc>
        <w:tc>
          <w:tcPr>
            <w:tcW w:w="678"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20</w:t>
            </w:r>
          </w:p>
        </w:tc>
        <w:tc>
          <w:tcPr>
            <w:tcW w:w="451"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64</w:t>
            </w:r>
          </w:p>
        </w:tc>
        <w:tc>
          <w:tcPr>
            <w:tcW w:w="678"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10716</w:t>
            </w:r>
          </w:p>
        </w:tc>
        <w:tc>
          <w:tcPr>
            <w:tcW w:w="900"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3</w:t>
            </w:r>
          </w:p>
        </w:tc>
        <w:tc>
          <w:tcPr>
            <w:tcW w:w="678"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226</w:t>
            </w:r>
          </w:p>
        </w:tc>
        <w:tc>
          <w:tcPr>
            <w:tcW w:w="451"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9</w:t>
            </w:r>
          </w:p>
        </w:tc>
        <w:tc>
          <w:tcPr>
            <w:tcW w:w="678"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2677</w:t>
            </w:r>
          </w:p>
        </w:tc>
        <w:tc>
          <w:tcPr>
            <w:tcW w:w="900" w:type="dxa"/>
            <w:tcBorders>
              <w:top w:val="single" w:sz="4" w:space="0" w:color="auto"/>
              <w:left w:val="single" w:sz="4" w:space="0" w:color="auto"/>
              <w:bottom w:val="single" w:sz="12" w:space="0" w:color="auto"/>
              <w:right w:val="single" w:sz="4"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w:t>
            </w:r>
          </w:p>
        </w:tc>
        <w:tc>
          <w:tcPr>
            <w:tcW w:w="678" w:type="dxa"/>
            <w:tcBorders>
              <w:top w:val="single" w:sz="4" w:space="0" w:color="auto"/>
              <w:left w:val="single" w:sz="4" w:space="0" w:color="auto"/>
              <w:bottom w:val="single" w:sz="12" w:space="0" w:color="auto"/>
              <w:right w:val="single" w:sz="12" w:space="0" w:color="auto"/>
            </w:tcBorders>
            <w:vAlign w:val="center"/>
            <w:hideMark/>
          </w:tcPr>
          <w:p w:rsidR="00332909" w:rsidRDefault="00332909">
            <w:pPr>
              <w:spacing w:after="40" w:line="276" w:lineRule="auto"/>
              <w:jc w:val="center"/>
              <w:rPr>
                <w:rFonts w:cs="Times New Roman"/>
                <w:sz w:val="20"/>
                <w:szCs w:val="20"/>
              </w:rPr>
            </w:pPr>
            <w:r>
              <w:rPr>
                <w:rFonts w:cs="Times New Roman"/>
                <w:sz w:val="20"/>
                <w:szCs w:val="20"/>
              </w:rPr>
              <w:t>19</w:t>
            </w:r>
          </w:p>
        </w:tc>
      </w:tr>
    </w:tbl>
    <w:p w:rsidR="00332909" w:rsidRDefault="00332909" w:rsidP="00332909">
      <w:pPr>
        <w:spacing w:before="120"/>
        <w:rPr>
          <w:rFonts w:cs="Times New Roman"/>
          <w:sz w:val="20"/>
        </w:rPr>
      </w:pPr>
      <w:r>
        <w:rPr>
          <w:rFonts w:cs="Times New Roman"/>
          <w:sz w:val="20"/>
        </w:rPr>
        <w:t>Zdroj: Centrum vedecko-technických informácií SR, údaje k 15.9.2016</w:t>
      </w:r>
    </w:p>
    <w:p w:rsidR="00332909" w:rsidRDefault="00332909" w:rsidP="006D2E6D">
      <w:pPr>
        <w:rPr>
          <w:rFonts w:cs="Times New Roman"/>
        </w:rPr>
      </w:pPr>
      <w:r>
        <w:rPr>
          <w:rFonts w:cs="Times New Roman"/>
          <w:b/>
        </w:rPr>
        <w:t xml:space="preserve">V súčasnosti je v okrese nedostatok miest na vzdelávanie detí predškolského a školského veku hlavne v obciach, kde je zvýšený počet deti z marginalizovaných rómskych komunít. </w:t>
      </w:r>
      <w:r>
        <w:rPr>
          <w:rFonts w:cs="Times New Roman"/>
        </w:rPr>
        <w:t>Konkrétne v obci Lukov je potreba navýšenia kapacít na dvojnásobok, čiže na 42 miest v MŠ. V ďalších obciach hlavne kde je početnosť MRK vyššia, sa žiadosti neevidujú preto, že miestna komunita ich nepodáva kvôli známemu nedostatku voľných miest v miestnych MŠ.</w:t>
      </w:r>
    </w:p>
    <w:p w:rsidR="00332909" w:rsidRDefault="00332909" w:rsidP="00332909">
      <w:pPr>
        <w:spacing w:after="0"/>
        <w:rPr>
          <w:rFonts w:cs="Times New Roman"/>
        </w:rPr>
      </w:pPr>
      <w:r>
        <w:rPr>
          <w:rFonts w:cs="Times New Roman"/>
        </w:rPr>
        <w:t>Poslaním stredných odborných škôl je pripravovať budúcu pracovnú silu pre podniky a podnikateľské subjekty. V okrese Bardejov takmer polovica stredoškolskej populácie študuje na gymnáziách, čo odoberá kvalitných žiakov stredným odborným školám. Stredné odborné školy majú vo svojej sieti zaradene študijné a učebné odbory, z ktorých mnohé  nekorešpondujú s reálnou potrebou trhu. Mnoho absolventov z týchto škôl nenachádza uplatnenie v praxi, často končia v evidencii nezamestnaných na ÚPSVaR. Študijné a učebné odbory, ktoré sú na trhu nedostatkové sa zavádzajú do siete škôl komplikovane a zdĺhavo. Jednotlivé stredné odborné školy ponúkajú tieto odbory:</w:t>
      </w:r>
    </w:p>
    <w:p w:rsidR="00332909" w:rsidRDefault="00332909" w:rsidP="00C90BE5">
      <w:pPr>
        <w:pStyle w:val="Odsekzoznamu"/>
        <w:numPr>
          <w:ilvl w:val="3"/>
          <w:numId w:val="34"/>
        </w:numPr>
        <w:spacing w:after="0"/>
        <w:ind w:left="993"/>
      </w:pPr>
      <w:r>
        <w:t>Spojená škola J. Henisha: - autoopravár, elektromechanik, montér suchých stavieb,</w:t>
      </w:r>
    </w:p>
    <w:p w:rsidR="00332909" w:rsidRDefault="00332909" w:rsidP="00C90BE5">
      <w:pPr>
        <w:pStyle w:val="Odsekzoznamu"/>
        <w:numPr>
          <w:ilvl w:val="7"/>
          <w:numId w:val="34"/>
        </w:numPr>
        <w:spacing w:after="0"/>
        <w:ind w:left="2410"/>
      </w:pPr>
      <w:r>
        <w:t xml:space="preserve">inštalatér, mechanik nastavovač, mechanik mechatronik, </w:t>
      </w:r>
    </w:p>
    <w:p w:rsidR="00332909" w:rsidRDefault="00332909" w:rsidP="00C90BE5">
      <w:pPr>
        <w:pStyle w:val="Odsekzoznamu"/>
        <w:numPr>
          <w:ilvl w:val="7"/>
          <w:numId w:val="34"/>
        </w:numPr>
        <w:spacing w:after="0"/>
        <w:ind w:left="2410"/>
      </w:pPr>
      <w:r>
        <w:t xml:space="preserve">mechanik elektrotechnik, mechanik počítačových sieti, mechanik </w:t>
      </w:r>
    </w:p>
    <w:p w:rsidR="00332909" w:rsidRDefault="00332909" w:rsidP="00C90BE5">
      <w:pPr>
        <w:pStyle w:val="Odsekzoznamu"/>
        <w:numPr>
          <w:ilvl w:val="7"/>
          <w:numId w:val="34"/>
        </w:numPr>
        <w:spacing w:after="0"/>
        <w:ind w:left="2410"/>
      </w:pPr>
      <w:r>
        <w:t>stavebnoinštalačných zariadení.</w:t>
      </w:r>
    </w:p>
    <w:p w:rsidR="00332909" w:rsidRDefault="00332909" w:rsidP="00C90BE5">
      <w:pPr>
        <w:pStyle w:val="Odsekzoznamu"/>
        <w:numPr>
          <w:ilvl w:val="4"/>
          <w:numId w:val="34"/>
        </w:numPr>
        <w:spacing w:after="0"/>
        <w:ind w:left="2410"/>
      </w:pPr>
      <w:r>
        <w:t>Stredná priemyselná škola – staviteľstvo, technika a prevádzka dopravy, technické lýceum, elektrotechnika.</w:t>
      </w:r>
    </w:p>
    <w:p w:rsidR="00332909" w:rsidRDefault="00332909" w:rsidP="00C90BE5">
      <w:pPr>
        <w:pStyle w:val="Odsekzoznamu"/>
        <w:numPr>
          <w:ilvl w:val="3"/>
          <w:numId w:val="34"/>
        </w:numPr>
        <w:spacing w:after="0"/>
        <w:ind w:left="993"/>
      </w:pPr>
      <w:r>
        <w:t>Spojená škola Štefánikova: praktická žena, stavebná výroba, pekár, murár, grafik digitálnych médií, sociálno-výchovný pracovník, biotechnológia a farmakológia.</w:t>
      </w:r>
    </w:p>
    <w:p w:rsidR="00332909" w:rsidRDefault="00332909" w:rsidP="00C90BE5">
      <w:pPr>
        <w:pStyle w:val="Odsekzoznamu"/>
        <w:numPr>
          <w:ilvl w:val="3"/>
          <w:numId w:val="34"/>
        </w:numPr>
        <w:spacing w:after="0"/>
        <w:ind w:left="993"/>
      </w:pPr>
      <w:r>
        <w:t xml:space="preserve">Hotelová akadémia: výživa a šport, manažment regionálneho cestovného ruchu, hotelová akadémia, čašník, servírka, kuchár, cukrár. </w:t>
      </w:r>
    </w:p>
    <w:p w:rsidR="00332909" w:rsidRDefault="00332909" w:rsidP="00C90BE5">
      <w:pPr>
        <w:pStyle w:val="Odsekzoznamu"/>
        <w:numPr>
          <w:ilvl w:val="3"/>
          <w:numId w:val="34"/>
        </w:numPr>
        <w:spacing w:after="0"/>
        <w:ind w:left="993"/>
      </w:pPr>
      <w:r>
        <w:t>Súkromná stredná odborná škola – propagačná grafika, operátor drevárskej a nábytkárskej výroby, kozmetička a vizážistka, mäsiar, kaderník, hostinský .</w:t>
      </w:r>
    </w:p>
    <w:p w:rsidR="00332909" w:rsidRDefault="00332909" w:rsidP="00332909">
      <w:pPr>
        <w:rPr>
          <w:rFonts w:cs="Times New Roman"/>
        </w:rPr>
      </w:pPr>
      <w:r>
        <w:rPr>
          <w:rFonts w:cs="Times New Roman"/>
        </w:rPr>
        <w:t xml:space="preserve">Medzi nedostatkové profesie na základe údajov z ÚPSVaR Bardejov patrí lekár, vodič medzinárodnej kamiónovej dopravy. </w:t>
      </w:r>
    </w:p>
    <w:p w:rsidR="00332909" w:rsidRDefault="00332909" w:rsidP="00332909">
      <w:pPr>
        <w:rPr>
          <w:rFonts w:cs="Times New Roman"/>
        </w:rPr>
      </w:pPr>
      <w:r>
        <w:rPr>
          <w:rFonts w:cs="Times New Roman"/>
        </w:rPr>
        <w:t xml:space="preserve">V okrese Bardejov ročne nastupuje na štúdium na stredné školy približne 760 žiakov. Priestorové kapacity stredných škôl sú podstatne vyššie. Z tohto dôvodu niektoré stredné školy sú kapacitne nevyužité, čo spôsobuje problémy v ich  rozvoji. Často sú zriaďovateľom stredných škôl prerozdeľované zdroje pre školy s nenaplnenou kapacitou. A práve tieto </w:t>
      </w:r>
      <w:r>
        <w:rPr>
          <w:rFonts w:cs="Times New Roman"/>
          <w:b/>
        </w:rPr>
        <w:t>zdroje potom chýbajú na rozvoj nových a pre trh v okrese potrebných odborov. Potrebný je obuvnícky a kožiarsky odbor, odbor mechatronik - strojárskej výroby a mechatronik - poľnohospodárskej techniky.</w:t>
      </w:r>
      <w:r>
        <w:rPr>
          <w:rFonts w:cs="Times New Roman"/>
        </w:rPr>
        <w:t xml:space="preserve"> </w:t>
      </w:r>
      <w:r>
        <w:rPr>
          <w:rFonts w:cs="Times New Roman"/>
          <w:b/>
        </w:rPr>
        <w:t>Školy taktiež trpia nedostatočnou vybavenosťou odborných učební.</w:t>
      </w:r>
      <w:r>
        <w:rPr>
          <w:rFonts w:cs="Times New Roman"/>
        </w:rPr>
        <w:t xml:space="preserve"> Riešením tejto situácie bude konsolidácia siete stredných škôl. Kvalitu pripravovaných absolventov SOŠ môže zvýšiť aj prepojenie školy s výrobnou praxou prostredníctvom duálneho vzdelávania. Je potrebné motivovať tie školy, ktoré majú rozpracovaný systém duálneho vzdelávania.</w:t>
      </w:r>
    </w:p>
    <w:p w:rsidR="00332909" w:rsidRDefault="00332909" w:rsidP="00332909">
      <w:pPr>
        <w:rPr>
          <w:rFonts w:cs="Times New Roman"/>
        </w:rPr>
      </w:pPr>
      <w:r>
        <w:rPr>
          <w:rFonts w:cs="Times New Roman"/>
          <w:b/>
        </w:rPr>
        <w:t>V okrese Bardejov má svoje sídlo Regionálny úrad verejného zdravotníctva Slovenskej republiky.</w:t>
      </w:r>
      <w:r>
        <w:rPr>
          <w:rFonts w:cs="Times New Roman"/>
        </w:rPr>
        <w:t xml:space="preserve"> Komplexnú zdravotnú a sociálnu starostlivosť poskytuje neštátne zdravotnícke zariadenie </w:t>
      </w:r>
      <w:r>
        <w:rPr>
          <w:rFonts w:cs="Times New Roman"/>
        </w:rPr>
        <w:lastRenderedPageBreak/>
        <w:t xml:space="preserve">Nemocnica s poliklinikou sv. Jakuba, n. o. Bardejov, kde k 31.12.2016 bolo evidovaných celkovo 372 lôžok </w:t>
      </w:r>
      <w:r w:rsidRPr="00B55BF9">
        <w:rPr>
          <w:rFonts w:cs="Times New Roman"/>
        </w:rPr>
        <w:t>(</w:t>
      </w:r>
      <w:r>
        <w:rPr>
          <w:rFonts w:cs="Times New Roman"/>
        </w:rPr>
        <w:t xml:space="preserve">t.j. 4,89 lôžka na 1000 obyvateľov).  V Slovenskej republike to je </w:t>
      </w:r>
      <w:r w:rsidRPr="00B55BF9">
        <w:rPr>
          <w:rFonts w:cs="Times New Roman"/>
        </w:rPr>
        <w:t>(</w:t>
      </w:r>
      <w:r>
        <w:rPr>
          <w:rFonts w:cs="Times New Roman"/>
        </w:rPr>
        <w:t xml:space="preserve"> 5,79 lôžka na 1000 obyvateľov) (Národné centrum zdravotníckych informácií, 2017). </w:t>
      </w:r>
    </w:p>
    <w:p w:rsidR="00332909" w:rsidRDefault="00332909" w:rsidP="00332909">
      <w:pPr>
        <w:spacing w:after="0"/>
        <w:rPr>
          <w:rFonts w:cs="Times New Roman"/>
        </w:rPr>
      </w:pPr>
      <w:r>
        <w:rPr>
          <w:rFonts w:cs="Times New Roman"/>
        </w:rPr>
        <w:t>Každá spádová oblasť disponuje ambulantným zariadením. Ambulantné zariadenia sa nachádzajú v obciach Raslavice, Kružlov, Kurima  a Zborov. Je potrebné modernizovať zdravotnícku infraštruktúru za účelom integrácie primárnej zdravotnej starostlivosti formou budovania centier integrovanej zdravotnej starostlivosti, pričom medzi oprávnené spádové oblasti v samospráve pre umiestnenie CIZS patria obce Kružlov, Raslavice</w:t>
      </w:r>
      <w:r w:rsidR="00276669">
        <w:rPr>
          <w:rFonts w:cs="Times New Roman"/>
        </w:rPr>
        <w:t>,</w:t>
      </w:r>
      <w:r w:rsidR="00A90CA7">
        <w:rPr>
          <w:rFonts w:cs="Times New Roman"/>
        </w:rPr>
        <w:t xml:space="preserve"> </w:t>
      </w:r>
      <w:r>
        <w:rPr>
          <w:rFonts w:cs="Times New Roman"/>
        </w:rPr>
        <w:t>Zborov</w:t>
      </w:r>
      <w:r w:rsidR="00A90CA7">
        <w:rPr>
          <w:rFonts w:cs="Times New Roman"/>
        </w:rPr>
        <w:t xml:space="preserve"> a mesto Bardejov</w:t>
      </w:r>
      <w:r>
        <w:rPr>
          <w:rFonts w:cs="Times New Roman"/>
        </w:rPr>
        <w:t>.</w:t>
      </w:r>
    </w:p>
    <w:p w:rsidR="00332909" w:rsidRDefault="00332909" w:rsidP="00332909">
      <w:pPr>
        <w:spacing w:before="120" w:after="0"/>
        <w:rPr>
          <w:rFonts w:cs="Times New Roman"/>
        </w:rPr>
      </w:pPr>
      <w:r>
        <w:rPr>
          <w:rFonts w:cs="Times New Roman"/>
          <w:b/>
        </w:rPr>
        <w:t>V rámci siete poskytovateľov sociálnych služieb v okrese Bardejov pôsobia poskytovatelia sociálnej služby</w:t>
      </w:r>
      <w:r>
        <w:rPr>
          <w:rFonts w:cs="Times New Roman"/>
        </w:rPr>
        <w:t xml:space="preserve"> v 4 domovoch sociálnych služieb v obci Bardejovská Nová Ves, Hertník, Raslavice a meste Bardejov, 1 poskytovateľ sociálnej služby v zariadení podporovaného bývania v Bardejovských Kúpeľoch, 2 poskytovatelia sociálnej služby v špecializovanom zariadení v Bardejove, 8 poskytovatelia sociálnej služby v zariadení pre seniorov v meste Bardejov a obci Hertník, Raslavice, Zborov, Nižná Polianka, Kružlov, Bardejovské Kúpele. Ďalej sú to poskytovatelia sociálnej služby v zariadení opatrovateľskej služby v Bardejove a Zborove, poskytovatelia sociálnej služby v dennom stacionári Bardejov, Kružlov, Marhaň, Fričkovce, Koprivnica, Raslavice, Zborov, Richvald, Šiba. V okrese pôsobia aj poskytovatelia opatrovateľskej služby.</w:t>
      </w:r>
    </w:p>
    <w:p w:rsidR="00332909" w:rsidRDefault="00490368" w:rsidP="00332909">
      <w:pPr>
        <w:rPr>
          <w:rFonts w:cs="Times New Roman"/>
        </w:rPr>
      </w:pPr>
      <w:r>
        <w:rPr>
          <w:rFonts w:cs="Times New Roman"/>
        </w:rPr>
        <w:t xml:space="preserve">Zariadenie sociálnych služieb </w:t>
      </w:r>
      <w:r w:rsidR="00332909">
        <w:rPr>
          <w:rFonts w:cs="Times New Roman"/>
        </w:rPr>
        <w:t xml:space="preserve">Egídius (v pôsobnosti PSK) poskytuje služby na riešenie nepriaznivej sociálnej situácie z dôvodu ťažkého zdravotného postihnutia a nepriaznivého zdravotného stavu pre fyzické osoby, ktoré sú odkázané na pomoc iných s kapacitou 18 miest. </w:t>
      </w:r>
    </w:p>
    <w:p w:rsidR="00332909" w:rsidRDefault="00332909" w:rsidP="00332909">
      <w:pPr>
        <w:rPr>
          <w:rFonts w:cs="Times New Roman"/>
        </w:rPr>
      </w:pPr>
      <w:r>
        <w:rPr>
          <w:rFonts w:cs="Times New Roman"/>
        </w:rPr>
        <w:t>Centrum sociálnych služieb v pôsobnosti mesta Bardejov zastrešuje dve zariadenia pre seniorov, denný stacionár, nocľaháreň, útulok, dve jedálne, senior centrum a tri denné centrá. Celková kapacita prijímateľov sociálnych služieb v súčasnosti je 258 miest. O prijímateľov sociálnych služieb sa stará 102 členný kolektív zamestnancov. Zásadným problémom poskytovania sociálnych služieb je súčasná platná legislatíva.</w:t>
      </w:r>
    </w:p>
    <w:p w:rsidR="00332909" w:rsidRDefault="00332909" w:rsidP="00332909">
      <w:pPr>
        <w:rPr>
          <w:rFonts w:cs="Times New Roman"/>
        </w:rPr>
      </w:pPr>
      <w:r>
        <w:rPr>
          <w:rFonts w:cs="Times New Roman"/>
        </w:rPr>
        <w:t>Súčasné rozmiestnenie sociálnych zariadení je koncentrované na území mesta a v severnej časti okresu. V južnej časti okresu pre spádové obce ako Kurima, Hažlín, Marhaň a iné, takéto zariadenia nie sú.  Prípadný zvoz týchto ľudí z južných časti okresu je komplikovaný. Je potrebné zriadiť takéto zariadenia aj v tejto spádovej oblasti.</w:t>
      </w:r>
    </w:p>
    <w:p w:rsidR="00332909" w:rsidRDefault="00332909" w:rsidP="00D83386">
      <w:r>
        <w:rPr>
          <w:rFonts w:cs="Times New Roman"/>
        </w:rPr>
        <w:t xml:space="preserve">V okrese pôsobia 3 komunitné centrá a to Komunitné centrum Raslavice a Komunitné centrum Sveržov a Komunitné centrum Lenartov. </w:t>
      </w:r>
      <w:r>
        <w:t>V okrese je potreba zlepšiť prístup ľudí z MRK k sociálnej infraštruktúre a to prostredníctvom podpory modernizácie a rekonštrukcie komunitných centier, podpory prestavby existujúcich objektov pre účely zriadenia a fungovania komunitných centier a podpory výstavby nových komunitných centier.</w:t>
      </w:r>
    </w:p>
    <w:p w:rsidR="00332909" w:rsidRDefault="00332909" w:rsidP="00332909">
      <w:r>
        <w:rPr>
          <w:rFonts w:cs="Times New Roman"/>
        </w:rPr>
        <w:t>V okrese je nedostatočný počet kapacít a j</w:t>
      </w:r>
      <w:r>
        <w:t>e potrebné podporiť prechod poskytovania sociálnych služieb a zabezpečenia výkonu opatrení sociálnoprávnej ochrany detí a sociálnej kurately v zariadení z inštitucionálnej formy na komunitnú a podporiť rozvoj služieb a starostlivosti o dieťa do troch rokov veku na komunitnej úrovni.</w:t>
      </w:r>
    </w:p>
    <w:p w:rsidR="00332909" w:rsidRDefault="00332909" w:rsidP="00332909">
      <w:pPr>
        <w:rPr>
          <w:rFonts w:cs="Times New Roman"/>
        </w:rPr>
      </w:pPr>
      <w:r>
        <w:rPr>
          <w:rFonts w:cs="Times New Roman"/>
        </w:rPr>
        <w:t>Z Atlasu rómskych komunít bolo na základe „Zjednodušeného indexu podrozvinutosti“ (ZIP) zadefinované poradie 150 obcí, ktoré sú oprávnenými prijímateľmi pomoci prostredníctvom pripraveného súboru programov, ktorý pozostáva zo základného balíka tzv. Take away. V prípade okresu boli do zoznamu zaradené mesto Bardejov a obce Lenartov, Marhaň, Raslavice, Petrová, Zborov.</w:t>
      </w:r>
    </w:p>
    <w:p w:rsidR="00F2768C" w:rsidRDefault="00332909" w:rsidP="00D83386">
      <w:pPr>
        <w:rPr>
          <w:rFonts w:cs="Times New Roman"/>
          <w:lang w:val="en-US"/>
        </w:rPr>
      </w:pPr>
      <w:r>
        <w:rPr>
          <w:rFonts w:cs="Times New Roman"/>
          <w:b/>
        </w:rPr>
        <w:lastRenderedPageBreak/>
        <w:t>Kultúrno spoločenský život</w:t>
      </w:r>
      <w:r>
        <w:rPr>
          <w:rFonts w:cs="Times New Roman"/>
        </w:rPr>
        <w:t xml:space="preserve"> v okrese je koncentrovaný do okresného mesta Bardejov, kde jestvuje kultúrno-turistické centrum Bardejov. So záberom pre celý okres pracuje Hornošarišské osvetové stredisko v Bardejove. V niektorých dedinách okresu pôsobia rôzne folklórne súbory a matičné spevokoly </w:t>
      </w:r>
      <w:r w:rsidRPr="00B55BF9">
        <w:rPr>
          <w:rFonts w:cs="Times New Roman"/>
        </w:rPr>
        <w:t>(obec Raslavice, Zborov, Kurov, Zlat</w:t>
      </w:r>
      <w:r>
        <w:rPr>
          <w:rFonts w:cs="Times New Roman"/>
        </w:rPr>
        <w:t>é, Abrahamovce, Kurima  atď.</w:t>
      </w:r>
      <w:r w:rsidRPr="00B55BF9">
        <w:rPr>
          <w:rFonts w:cs="Times New Roman"/>
        </w:rPr>
        <w:t>)</w:t>
      </w:r>
      <w:r w:rsidR="00F2768C" w:rsidRPr="00B55BF9">
        <w:rPr>
          <w:rFonts w:cs="Times New Roman"/>
        </w:rPr>
        <w:t xml:space="preserve">. V okrese sa nachádza </w:t>
      </w:r>
      <w:r w:rsidR="00281675" w:rsidRPr="00B55BF9">
        <w:rPr>
          <w:rFonts w:cs="Times New Roman"/>
        </w:rPr>
        <w:t>Hornošarišské osvetové stredisko Bardejov,</w:t>
      </w:r>
      <w:r w:rsidR="00281675" w:rsidRPr="00281675">
        <w:t xml:space="preserve"> </w:t>
      </w:r>
      <w:r w:rsidR="00281675" w:rsidRPr="00B55BF9">
        <w:rPr>
          <w:rFonts w:cs="Times New Roman"/>
        </w:rPr>
        <w:t>Okresná knižnica Dávida Gutgesela v Bardejove a jedno</w:t>
      </w:r>
      <w:r w:rsidR="00F2768C" w:rsidRPr="00B55BF9">
        <w:rPr>
          <w:rFonts w:cs="Times New Roman"/>
        </w:rPr>
        <w:t xml:space="preserve"> kino Žr</w:t>
      </w:r>
      <w:r w:rsidR="00281675" w:rsidRPr="00B55BF9">
        <w:rPr>
          <w:rFonts w:cs="Times New Roman"/>
        </w:rPr>
        <w:t xml:space="preserve">iedlo v Bardejovských Kúpeľoch. </w:t>
      </w:r>
      <w:r w:rsidR="00281675">
        <w:rPr>
          <w:rFonts w:cs="Times New Roman"/>
          <w:lang w:val="en-US"/>
        </w:rPr>
        <w:t>D</w:t>
      </w:r>
      <w:r w:rsidR="00F2768C">
        <w:rPr>
          <w:rFonts w:cs="Times New Roman"/>
          <w:lang w:val="en-US"/>
        </w:rPr>
        <w:t>ivadlo sa v okrese nenachádza.</w:t>
      </w:r>
    </w:p>
    <w:p w:rsidR="00332909" w:rsidRDefault="00332909" w:rsidP="00B47D21">
      <w:pPr>
        <w:spacing w:before="120"/>
        <w:rPr>
          <w:rFonts w:cs="Times New Roman"/>
        </w:rPr>
      </w:pPr>
      <w:r w:rsidRPr="00B55BF9">
        <w:rPr>
          <w:rFonts w:cs="Times New Roman"/>
        </w:rPr>
        <w:t>V obciach s</w:t>
      </w:r>
      <w:r>
        <w:rPr>
          <w:rFonts w:cs="Times New Roman"/>
        </w:rPr>
        <w:t>ú vybudované kultúrne domy, ktoré boli postavené poväčšine v 70. rokoch minulého storočia. Ich stav je už nevyhovujúci dnešným normám a štandardom, a preto je potrebné ich stav vylepšiť a pracovať na oživení činnosti kultúrnych centier v spádových obciach ako Hertník, Raslavice, Marhaň, Kurima atď.</w:t>
      </w:r>
    </w:p>
    <w:p w:rsidR="00332909" w:rsidRDefault="00332909" w:rsidP="00332909">
      <w:pPr>
        <w:rPr>
          <w:rFonts w:cs="Times New Roman"/>
        </w:rPr>
      </w:pPr>
      <w:r>
        <w:rPr>
          <w:rFonts w:cs="Times New Roman"/>
        </w:rPr>
        <w:t>V športovej oblasti sa hlavná činnosť rozvíja predovšetkým cez futbalové oddiely a kluby v meste Bardejov a okolitých obciach okresu. V niektorých obciach sú vybudované športové plochy s umelým trávnikom ako v Bardejove, Hertníku, Raslaviciach, Hažlíne a obci Marhaň, ktoré slúžia pre voľnočasové športové aktivity občanov.</w:t>
      </w:r>
    </w:p>
    <w:p w:rsidR="00332909" w:rsidRDefault="00332909" w:rsidP="00332909">
      <w:pPr>
        <w:rPr>
          <w:rFonts w:cs="Times New Roman"/>
          <w:b/>
        </w:rPr>
      </w:pPr>
      <w:r>
        <w:rPr>
          <w:rFonts w:cs="Times New Roman"/>
          <w:b/>
        </w:rPr>
        <w:t>V niektorých obciach je stav športovísk v značne zlom stave a žiada si investíciu do modernizácie, ako napr. v obciach Koprivnica, Šiba, Raslavice, Poliakovce, Chmeľová ale aj v meste Bardejov.</w:t>
      </w:r>
    </w:p>
    <w:p w:rsidR="00332909" w:rsidRDefault="00332909" w:rsidP="00332909">
      <w:pPr>
        <w:pStyle w:val="Nadpis2"/>
        <w:shd w:val="clear" w:color="auto" w:fill="BFBFBF" w:themeFill="background1" w:themeFillShade="BF"/>
      </w:pPr>
      <w:bookmarkStart w:id="28" w:name="_Toc511211861"/>
      <w:bookmarkStart w:id="29" w:name="_Toc517084338"/>
      <w:r>
        <w:t>Cestovný ruch</w:t>
      </w:r>
      <w:bookmarkEnd w:id="28"/>
      <w:bookmarkEnd w:id="29"/>
    </w:p>
    <w:p w:rsidR="00332909" w:rsidRPr="009366D3" w:rsidRDefault="00332909" w:rsidP="00D83386">
      <w:pPr>
        <w:rPr>
          <w:rFonts w:cs="Times New Roman"/>
        </w:rPr>
      </w:pPr>
      <w:r>
        <w:rPr>
          <w:rFonts w:cs="Times New Roman"/>
        </w:rPr>
        <w:t>Okres Bardejov má predpoklady pre rozvoj kultúrno-poznávacej a kúpeľno-relaxačnej turistiky a je perspektívny aj pre rozvoj v oblasti agroturistiky. Okres Bardejov je svojimi prírodnými danosťami a ľudským potenciálom priam predurčený na to, aby mohol z tohto potenciálu vyťažiť väčší ekonomický efekt. Okresom vedie niekoľko turistických trás k zaujímavým chráneným oblastiam. V severnej časti okresu je niekoľko prameňov prírodných minerálnych vôd, vyznačujúcich sa svojím liečivým účinkom na ľudský organizmus (Cigeľka a iné). Dominantné v tejto oblasti sú Bardejovské Kúpele poskytujúce nielen kvalitné liečebné služby, ale aj dobrý relax a oddych pre svojich návštevníkov. Návšteva okresného mesta Bardejov umožňuje návštevníkom vidieť jednotlivé pamiatky historického centra Bardejova s dominantnou Bazilikou minor sv. Egídia a historickou Mestskou radnicou. Uvedené pamiatky spolu s komplexom stavieb tvoriacich židovské suburbium sú zapísané v svetovom dedičstve UNESCO. V okolí Bardejova sa zachovali pamiatky drevenej sakrálnej architektúry v podobe drevených kostolíkov v deviatich obciach okresu</w:t>
      </w:r>
      <w:r w:rsidR="009366D3" w:rsidRPr="00B55BF9">
        <w:rPr>
          <w:rFonts w:cs="Times New Roman"/>
        </w:rPr>
        <w:t xml:space="preserve">. </w:t>
      </w:r>
      <w:r w:rsidR="009366D3" w:rsidRPr="009366D3">
        <w:rPr>
          <w:rFonts w:cs="Times New Roman"/>
        </w:rPr>
        <w:t xml:space="preserve">Jedným z najznámejších je drevený rímskokatolícky kostol svätého Františka z Assisi z konca 15. storočia </w:t>
      </w:r>
      <w:r w:rsidR="00B47D21">
        <w:rPr>
          <w:rFonts w:cs="Times New Roman"/>
        </w:rPr>
        <w:t>v obci Hervartov</w:t>
      </w:r>
      <w:r w:rsidRPr="009366D3">
        <w:rPr>
          <w:rFonts w:cs="Times New Roman"/>
        </w:rPr>
        <w:t>.</w:t>
      </w:r>
    </w:p>
    <w:p w:rsidR="00332909" w:rsidRDefault="00332909" w:rsidP="00332909">
      <w:pPr>
        <w:rPr>
          <w:rFonts w:cs="Times New Roman"/>
        </w:rPr>
      </w:pPr>
      <w:r>
        <w:rPr>
          <w:rFonts w:cs="Times New Roman"/>
        </w:rPr>
        <w:t>Pre okres je vzácne aj nehmotné kultúrne dedičstvo v podobe ľudových zvykov a tradícii, žijúcich ľudových remeselníkoch ovládajúcich zručnosti a techniky starých majstrov. Značná časť tohto dedičstva je umiestnená v </w:t>
      </w:r>
      <w:r w:rsidR="009C2EAE" w:rsidRPr="009C2EAE">
        <w:rPr>
          <w:rFonts w:cs="Times New Roman"/>
        </w:rPr>
        <w:t>Skanzen</w:t>
      </w:r>
      <w:r w:rsidR="009C2EAE">
        <w:rPr>
          <w:rFonts w:cs="Times New Roman"/>
        </w:rPr>
        <w:t>e</w:t>
      </w:r>
      <w:r w:rsidR="009C2EAE" w:rsidRPr="009C2EAE">
        <w:rPr>
          <w:rFonts w:cs="Times New Roman"/>
        </w:rPr>
        <w:t xml:space="preserve"> – Múzeum ľudovej architektúry</w:t>
      </w:r>
      <w:r w:rsidR="009C2EAE" w:rsidRPr="009C2EAE" w:rsidDel="009C2EAE">
        <w:rPr>
          <w:rFonts w:cs="Times New Roman"/>
        </w:rPr>
        <w:t xml:space="preserve"> </w:t>
      </w:r>
      <w:r w:rsidR="009366D3">
        <w:rPr>
          <w:rFonts w:cs="Times New Roman"/>
        </w:rPr>
        <w:t>, ktoré je</w:t>
      </w:r>
      <w:r>
        <w:rPr>
          <w:rFonts w:cs="Times New Roman"/>
        </w:rPr>
        <w:t> najstarš</w:t>
      </w:r>
      <w:r w:rsidR="009366D3">
        <w:rPr>
          <w:rFonts w:cs="Times New Roman"/>
        </w:rPr>
        <w:t>ím</w:t>
      </w:r>
      <w:r>
        <w:rPr>
          <w:rFonts w:cs="Times New Roman"/>
        </w:rPr>
        <w:t xml:space="preserve"> skanzen</w:t>
      </w:r>
      <w:r w:rsidR="009366D3">
        <w:rPr>
          <w:rFonts w:cs="Times New Roman"/>
        </w:rPr>
        <w:t>om</w:t>
      </w:r>
      <w:r>
        <w:rPr>
          <w:rFonts w:cs="Times New Roman"/>
        </w:rPr>
        <w:t xml:space="preserve"> ľudovej kultúry na Slovensku.</w:t>
      </w:r>
    </w:p>
    <w:p w:rsidR="00332909" w:rsidRDefault="00332909" w:rsidP="00332909">
      <w:pPr>
        <w:rPr>
          <w:rFonts w:cs="Times New Roman"/>
        </w:rPr>
      </w:pPr>
      <w:r>
        <w:rPr>
          <w:rFonts w:cs="Times New Roman"/>
        </w:rPr>
        <w:t xml:space="preserve">Uvedené danosti priťahujú do nášho regiónu množstvo návštevníkov nielen zo Slovenska, ale aj zo zahraničia. Potešujúca je neustále rastúca návštevnosť turistov v našom regióne. Služby v CR využilo 47 787 návštevníkov, z nich 83,4 % boli slovenskí návštevníci. Zahraniční návštevníci tvorili 16,6 % a do okresu pricestovali prevažne z Českej republiky, Poľska, Bieloruska a Ukrajiny.  Z hľadiska počtu prenocovaní je okres Bardejov druhý v rámci Prešovského kraja hneď za okresom Poprad. V celom okrese je k dispozícii celkom 36 ubytovacích zariadení s 2 120 lôžkami. Priemerný počet prenocovaní návštevníkov je 7,2 noci, čo je najviac v Prešovskom kraji. Prevažná väčšina ubytovacích zariadení sa nachádza v meste Bardejov a v priľahlých Bardejovských Kúpeľoch. Uvedený stav je ovplyvnený činnosťou Bardejovských Kúpeľov a.s.. Návštevnosť Bardejovských </w:t>
      </w:r>
      <w:r>
        <w:rPr>
          <w:rFonts w:cs="Times New Roman"/>
        </w:rPr>
        <w:lastRenderedPageBreak/>
        <w:t>Kúpeľov  a.s. v r.2017 dosiahla 27 169 pacientov, čím kúpeľný cestovný ruch zastáva významné postavenie v rozvoji cestovného ruchu v okrese.</w:t>
      </w:r>
    </w:p>
    <w:p w:rsidR="00332909" w:rsidRDefault="00332909" w:rsidP="00332909">
      <w:pPr>
        <w:rPr>
          <w:rFonts w:cs="Times New Roman"/>
        </w:rPr>
      </w:pPr>
      <w:r>
        <w:rPr>
          <w:rFonts w:cs="Times New Roman"/>
        </w:rPr>
        <w:t xml:space="preserve">V okrese pôsobí Oblastná organizácia cestovného ruchu – OOCR „Šariš“ – Bardejov. </w:t>
      </w:r>
    </w:p>
    <w:p w:rsidR="00332909" w:rsidRDefault="00332909" w:rsidP="00332909">
      <w:pPr>
        <w:rPr>
          <w:rFonts w:cs="Times New Roman"/>
        </w:rPr>
      </w:pPr>
      <w:r>
        <w:rPr>
          <w:rFonts w:cs="Times New Roman"/>
        </w:rPr>
        <w:t>V okrese Bardejov sú aj napriek dobrým zimným podmienkam prevádzkované iba dva lyžiarske vleky, ktoré</w:t>
      </w:r>
      <w:r>
        <w:rPr>
          <w:rFonts w:cs="Times New Roman"/>
          <w:color w:val="FF0000"/>
        </w:rPr>
        <w:t xml:space="preserve"> </w:t>
      </w:r>
      <w:r>
        <w:rPr>
          <w:rFonts w:cs="Times New Roman"/>
        </w:rPr>
        <w:t>sú vybavené kotvovými a tanierovými vlekmi, len so základnými zložkami a parkoviskom, a preto je potrebné dobudovať nové lyžiarske stredisko vyššieho štandardu pre bežecké a zjazdové lyžovanie. Z tohto dôvodu množstvo priaznivcov zimných športov odchádza hlavne do blízkeho susedného Poľska. Je potrebné vybudovať minimálne jedno moderné zimné lyžiarske stredisko pre zjazdové ale aj bežecké lyžovanie. Letný turizmus je potrebné podporiť dobudovaním obslužných činnosti v lokalitách drevených kostolíkov, prípadne vytvoriť letné turistické strediska a tým rozšíriť škálu a podporiť previazanosť poskytovaných služieb.</w:t>
      </w:r>
    </w:p>
    <w:p w:rsidR="00332909" w:rsidRDefault="00332909" w:rsidP="00332909">
      <w:pPr>
        <w:rPr>
          <w:rFonts w:cs="Times New Roman"/>
        </w:rPr>
      </w:pPr>
      <w:r>
        <w:rPr>
          <w:rFonts w:cs="Times New Roman"/>
        </w:rPr>
        <w:t>Do budúcna vidíme možnosti ďalšieho rozvoja turizmu rozvojom tzv. vidieckeho turizmu.</w:t>
      </w:r>
    </w:p>
    <w:p w:rsidR="00332909" w:rsidRDefault="00332909" w:rsidP="00332909">
      <w:pPr>
        <w:rPr>
          <w:rFonts w:cs="Times New Roman"/>
        </w:rPr>
      </w:pPr>
      <w:r>
        <w:rPr>
          <w:rFonts w:cs="Times New Roman"/>
        </w:rPr>
        <w:t>V okrese Bardejov cyklotrasy vedú hlavne po miestnych komunikáciách a nespevnených cestách. Problémom existujúcich cyklistických trás</w:t>
      </w:r>
      <w:r w:rsidR="00100ED9">
        <w:rPr>
          <w:rFonts w:cs="Times New Roman"/>
        </w:rPr>
        <w:t xml:space="preserve"> v meste Bardejov a celom okrese</w:t>
      </w:r>
      <w:r>
        <w:rPr>
          <w:rFonts w:cs="Times New Roman"/>
        </w:rPr>
        <w:t xml:space="preserve"> je ich vzájomná neprepojenosť</w:t>
      </w:r>
      <w:r w:rsidR="00100ED9">
        <w:rPr>
          <w:rFonts w:cs="Times New Roman"/>
        </w:rPr>
        <w:t xml:space="preserve"> </w:t>
      </w:r>
      <w:r w:rsidR="00100ED9" w:rsidRPr="00100ED9">
        <w:rPr>
          <w:rFonts w:cs="Times New Roman"/>
        </w:rPr>
        <w:t>na regionálne a nadnárodné cyklotrasy s presahom na cezhraničný turizmus medzi SR a PL</w:t>
      </w:r>
      <w:r>
        <w:rPr>
          <w:rFonts w:cs="Times New Roman"/>
        </w:rPr>
        <w:t>.</w:t>
      </w:r>
      <w:r>
        <w:t xml:space="preserve"> V absolútne nevyhovujúcom stave je cyklistická štruktúra na území mesta. Chýbajú parkoviská bicyklov a ďalšie doplnkové služby, hlavne na miestach s vyššou koncentráciou ľudí – obchodné centrá, školy, autobusová a železničná stanica a pod. Podcenené je aj cykloznačenie jednotlivých trás.</w:t>
      </w:r>
    </w:p>
    <w:p w:rsidR="00332909" w:rsidRDefault="00332909" w:rsidP="00332909">
      <w:pPr>
        <w:rPr>
          <w:rFonts w:cs="Times New Roman"/>
        </w:rPr>
      </w:pPr>
      <w:r>
        <w:rPr>
          <w:rFonts w:cs="Times New Roman"/>
        </w:rPr>
        <w:t xml:space="preserve"> V rámci okresu Bardejov evidujeme nasledovné cyklotrasy, ktoré sú v </w:t>
      </w:r>
      <w:r>
        <w:t>sú v prevažnej miere vedené po štátnych cestách</w:t>
      </w:r>
      <w:r>
        <w:rPr>
          <w:rFonts w:cs="Times New Roman"/>
        </w:rPr>
        <w:t>:</w:t>
      </w:r>
    </w:p>
    <w:p w:rsidR="00332909" w:rsidRDefault="00332909" w:rsidP="00C90BE5">
      <w:pPr>
        <w:pStyle w:val="Odsekzoznamu"/>
        <w:numPr>
          <w:ilvl w:val="0"/>
          <w:numId w:val="2"/>
        </w:numPr>
      </w:pPr>
      <w:r>
        <w:t>Cyklotrasa Bardejov – Krynica – Zdrój (ev. č. 2892) o celkovej dĺžke 23,2 km. Spája dve partnerské mestá Bardejov (SR) a Krynica – Zdrój (Poľsko), ako aj jestvujúce cyklotrasy na slovenskej strane („Karpatská cyklistická cesta“, „Na križovatke kultúr“) s existujúcimi cyklotrasami na strane poľskej („Na styku kultúr“, „Beskidskie Muzea“ a ďalšie).</w:t>
      </w:r>
    </w:p>
    <w:p w:rsidR="00332909" w:rsidRDefault="00332909" w:rsidP="00C90BE5">
      <w:pPr>
        <w:pStyle w:val="Odsekzoznamu"/>
        <w:numPr>
          <w:ilvl w:val="0"/>
          <w:numId w:val="2"/>
        </w:numPr>
      </w:pPr>
      <w:r>
        <w:t xml:space="preserve">Cyklotrasa „Na križovatke kultúr“ Bardejov – Štátna hranica  - Jaslo (ev. č. 5892) v celkovej dĺžke 77 km. </w:t>
      </w:r>
    </w:p>
    <w:p w:rsidR="00332909" w:rsidRPr="006D2E6D" w:rsidRDefault="00332909" w:rsidP="006D2E6D">
      <w:pPr>
        <w:pStyle w:val="Nadpis1"/>
      </w:pPr>
      <w:bookmarkStart w:id="30" w:name="_Toc511211862"/>
      <w:bookmarkStart w:id="31" w:name="_Toc517084339"/>
      <w:r w:rsidRPr="006D2E6D">
        <w:t>II. Zhodnotenie rozvojového potenciálu okresu Bardejov</w:t>
      </w:r>
      <w:bookmarkEnd w:id="30"/>
      <w:bookmarkEnd w:id="31"/>
    </w:p>
    <w:p w:rsidR="00332909" w:rsidRPr="00332909" w:rsidRDefault="00332909" w:rsidP="00D83386">
      <w:pPr>
        <w:rPr>
          <w:rFonts w:cs="Times New Roman"/>
        </w:rPr>
      </w:pPr>
      <w:r>
        <w:rPr>
          <w:rFonts w:cs="Times New Roman"/>
        </w:rPr>
        <w:t>Cieľom Akčného plánu je tvorba pracovných miest a zvyšovanie zamestnanosti a zamestnateľnosti v okrese Bardejov prostredníctvom využívania domácich prírodných a ľudských zdrojov, ekonomického potenciálu okresu, zlepšením štruktúry disponibilnej pracovnej sily a podporovaním a skvalitňovaním podnikateľského prostredia. Opatrenia Akčného plánu vytvoria udržateľné pracovné miesta založené na využívaní komparatívnych výhod regionálnej ekonomiky, ktoré dokážu efektívne zhodnocovať vlastný rozvojový potenciál.</w:t>
      </w:r>
    </w:p>
    <w:p w:rsidR="00332909" w:rsidRDefault="00332909" w:rsidP="00D83386">
      <w:pPr>
        <w:rPr>
          <w:rFonts w:cs="Times New Roman"/>
          <w:b/>
          <w:bCs/>
        </w:rPr>
      </w:pPr>
      <w:r>
        <w:rPr>
          <w:rFonts w:cs="Times New Roman"/>
          <w:b/>
          <w:bCs/>
        </w:rPr>
        <w:t xml:space="preserve">Rozvoj okresu Bardejov v zmysle tohto Akčného plánu by mal byť postavený predovšetkým na: </w:t>
      </w:r>
    </w:p>
    <w:p w:rsidR="00332909" w:rsidRDefault="00332909" w:rsidP="00C90BE5">
      <w:pPr>
        <w:pStyle w:val="Odsekzoznamu"/>
        <w:numPr>
          <w:ilvl w:val="0"/>
          <w:numId w:val="35"/>
        </w:numPr>
        <w:rPr>
          <w:rFonts w:eastAsia="Times New Roman"/>
          <w:b/>
          <w:bCs/>
          <w:i/>
          <w:iCs/>
          <w:u w:val="single"/>
        </w:rPr>
      </w:pPr>
      <w:r>
        <w:t>tvorbe pracovných miest a zvyšovaní potenciálu na zlepšenie zamestnanosti,</w:t>
      </w:r>
    </w:p>
    <w:p w:rsidR="00332909" w:rsidRDefault="00332909" w:rsidP="00C90BE5">
      <w:pPr>
        <w:pStyle w:val="Odsekzoznamu"/>
        <w:numPr>
          <w:ilvl w:val="0"/>
          <w:numId w:val="35"/>
        </w:numPr>
        <w:rPr>
          <w:rFonts w:eastAsia="Times New Roman"/>
          <w:b/>
          <w:bCs/>
          <w:i/>
          <w:iCs/>
          <w:u w:val="single"/>
        </w:rPr>
      </w:pPr>
      <w:r>
        <w:t xml:space="preserve">rozvoji a využití ľudského potenciálu, miestnych domácich surovín a ďalších zdrojov územia, </w:t>
      </w:r>
    </w:p>
    <w:p w:rsidR="00332909" w:rsidRDefault="00332909" w:rsidP="00C90BE5">
      <w:pPr>
        <w:pStyle w:val="Odsekzoznamu"/>
        <w:numPr>
          <w:ilvl w:val="0"/>
          <w:numId w:val="35"/>
        </w:numPr>
        <w:rPr>
          <w:rFonts w:eastAsia="Times New Roman"/>
          <w:b/>
          <w:bCs/>
          <w:i/>
          <w:iCs/>
          <w:u w:val="single"/>
        </w:rPr>
      </w:pPr>
      <w:r>
        <w:t xml:space="preserve">zlepšení úrovne stredného školstva s prispôsobovaním študijných odborov trhu práce, </w:t>
      </w:r>
    </w:p>
    <w:p w:rsidR="00332909" w:rsidRDefault="00332909" w:rsidP="00C90BE5">
      <w:pPr>
        <w:pStyle w:val="Odsekzoznamu"/>
        <w:numPr>
          <w:ilvl w:val="0"/>
          <w:numId w:val="35"/>
        </w:numPr>
        <w:rPr>
          <w:rFonts w:eastAsia="Times New Roman"/>
          <w:b/>
          <w:bCs/>
          <w:i/>
          <w:iCs/>
          <w:u w:val="single"/>
        </w:rPr>
      </w:pPr>
      <w:r>
        <w:t>využití prírodného a kultúrno-historického dedičstva pre rozvoj cestovného ruchu,</w:t>
      </w:r>
    </w:p>
    <w:p w:rsidR="00332909" w:rsidRDefault="00332909" w:rsidP="00C90BE5">
      <w:pPr>
        <w:pStyle w:val="Odsekzoznamu"/>
        <w:numPr>
          <w:ilvl w:val="0"/>
          <w:numId w:val="35"/>
        </w:numPr>
        <w:rPr>
          <w:rFonts w:eastAsia="Times New Roman"/>
          <w:b/>
          <w:bCs/>
          <w:i/>
          <w:iCs/>
          <w:u w:val="single"/>
        </w:rPr>
      </w:pPr>
      <w:r>
        <w:t>diverzifikácii výrobnej základne spolu s rozvojom služieb, podpora MSP,</w:t>
      </w:r>
    </w:p>
    <w:p w:rsidR="00332909" w:rsidRDefault="00332909" w:rsidP="00C90BE5">
      <w:pPr>
        <w:pStyle w:val="Odsekzoznamu"/>
        <w:numPr>
          <w:ilvl w:val="0"/>
          <w:numId w:val="35"/>
        </w:numPr>
        <w:rPr>
          <w:rFonts w:eastAsia="Times New Roman"/>
          <w:b/>
          <w:bCs/>
          <w:i/>
          <w:iCs/>
          <w:u w:val="single"/>
        </w:rPr>
      </w:pPr>
      <w:r>
        <w:t>podpore konkurencieschopných a udržateľných odvetví priemyslu a poľnohospodárstva,</w:t>
      </w:r>
    </w:p>
    <w:p w:rsidR="00332909" w:rsidRDefault="00332909" w:rsidP="00C90BE5">
      <w:pPr>
        <w:pStyle w:val="Odsekzoznamu"/>
        <w:numPr>
          <w:ilvl w:val="0"/>
          <w:numId w:val="35"/>
        </w:numPr>
      </w:pPr>
      <w:r>
        <w:t>priaznivom cezhraničnom prepojení okresu a rozvinutej cezhraničnej spolupráce samospráv,</w:t>
      </w:r>
    </w:p>
    <w:p w:rsidR="00332909" w:rsidRDefault="00332909" w:rsidP="00C90BE5">
      <w:pPr>
        <w:pStyle w:val="Odsekzoznamu"/>
        <w:numPr>
          <w:ilvl w:val="0"/>
          <w:numId w:val="35"/>
        </w:numPr>
      </w:pPr>
      <w:r>
        <w:lastRenderedPageBreak/>
        <w:t>výstavbe chýbajúcej a modernizácii existujúcej dopravnej, technickej, občianskej a rekreačnej infraštruktúry.</w:t>
      </w:r>
    </w:p>
    <w:p w:rsidR="00332909" w:rsidRDefault="00332909" w:rsidP="00332909">
      <w:pPr>
        <w:pStyle w:val="Odsekzoznamu"/>
        <w:spacing w:line="23" w:lineRule="atLeast"/>
      </w:pPr>
    </w:p>
    <w:p w:rsidR="00D83386" w:rsidRDefault="00D83386" w:rsidP="00332909">
      <w:pPr>
        <w:pStyle w:val="Odsekzoznamu"/>
        <w:spacing w:line="23" w:lineRule="atLeast"/>
      </w:pPr>
    </w:p>
    <w:p w:rsidR="00332909" w:rsidRDefault="00332909" w:rsidP="00D83386">
      <w:pPr>
        <w:rPr>
          <w:rFonts w:cs="Times New Roman"/>
          <w:b/>
        </w:rPr>
      </w:pPr>
      <w:r>
        <w:rPr>
          <w:rFonts w:cs="Times New Roman"/>
          <w:b/>
        </w:rPr>
        <w:t>Hlavné faktory, ktoré okres Bardejov môže využiť pre svoj rozvoj patria nasledujúce:</w:t>
      </w:r>
    </w:p>
    <w:p w:rsidR="00332909" w:rsidRDefault="00332909" w:rsidP="00C90BE5">
      <w:pPr>
        <w:pStyle w:val="Odsekzoznamu"/>
        <w:numPr>
          <w:ilvl w:val="0"/>
          <w:numId w:val="36"/>
        </w:numPr>
        <w:ind w:left="567" w:hanging="207"/>
        <w:rPr>
          <w:b/>
        </w:rPr>
      </w:pPr>
      <w:r>
        <w:rPr>
          <w:b/>
        </w:rPr>
        <w:t>Existencia tradičných a konkurencieschopných odvetvi:</w:t>
      </w:r>
    </w:p>
    <w:p w:rsidR="00332909" w:rsidRDefault="00332909" w:rsidP="00C90BE5">
      <w:pPr>
        <w:pStyle w:val="Odsekzoznamu"/>
        <w:numPr>
          <w:ilvl w:val="4"/>
          <w:numId w:val="3"/>
        </w:numPr>
        <w:ind w:left="567" w:hanging="207"/>
      </w:pPr>
      <w:r>
        <w:t xml:space="preserve">Existencia perspektívnych podnikov so stabilným postavením na národnom a svetovom trhu, s domácim kapitálom, s perspektívou rozšírenia produkcie a udržateľnej zamestnanosti. Ide predovšetkým o tradičné odvetvia ako obuvníctvo, strojárenstvo, potravinárstvo ako aj ďalšie existujúce podniky nachádzajúce sa v okrese Bardejov.  </w:t>
      </w:r>
    </w:p>
    <w:p w:rsidR="00332909" w:rsidRPr="00D83386" w:rsidRDefault="00332909" w:rsidP="00C90BE5">
      <w:pPr>
        <w:pStyle w:val="Odsekzoznamu"/>
        <w:numPr>
          <w:ilvl w:val="0"/>
          <w:numId w:val="36"/>
        </w:numPr>
        <w:ind w:left="567" w:hanging="207"/>
        <w:rPr>
          <w:b/>
        </w:rPr>
      </w:pPr>
      <w:r w:rsidRPr="00D83386">
        <w:rPr>
          <w:rFonts w:eastAsia="Times New Roman"/>
          <w:b/>
          <w:bCs/>
          <w:iCs/>
        </w:rPr>
        <w:t>Existujúci potenciál pre tvorbu nových pracovných miest s dôrazom na vytváranie pridanej hodnoty:</w:t>
      </w:r>
    </w:p>
    <w:p w:rsidR="00332909" w:rsidRDefault="00332909" w:rsidP="00C90BE5">
      <w:pPr>
        <w:pStyle w:val="Odsekzoznamu"/>
        <w:numPr>
          <w:ilvl w:val="4"/>
          <w:numId w:val="3"/>
        </w:numPr>
        <w:ind w:left="567" w:hanging="207"/>
      </w:pPr>
      <w:r>
        <w:t>Ide najmä o pracovné miesta v poľnohospodárstve, priemysle, lesníctve, výrobe, v službách, ktoré zabezpečia zlepšenie kvality života, cestovného ruchu, zabezpečia nárast pridanej hodnoty regionálneho produktu, rekvalifikácia a kvalifikovanie uchádzačov o zamestnanie ako aj tvorba pracovných miest pre ťažko zamestnateľných bez pracovných návykov, zameraných na spracovanie zeleniny, ľahké stavebné práce, údržba a tvorbu zelenej infraštruktúry, obecné práce, nakladanie s odpadom a pod.</w:t>
      </w:r>
    </w:p>
    <w:p w:rsidR="00332909" w:rsidRDefault="00332909" w:rsidP="00C90BE5">
      <w:pPr>
        <w:pStyle w:val="Odsekzoznamu"/>
        <w:numPr>
          <w:ilvl w:val="0"/>
          <w:numId w:val="36"/>
        </w:numPr>
        <w:ind w:left="567" w:hanging="207"/>
      </w:pPr>
      <w:r w:rsidRPr="00D83386">
        <w:rPr>
          <w:rFonts w:eastAsia="Times New Roman"/>
          <w:b/>
          <w:bCs/>
          <w:iCs/>
        </w:rPr>
        <w:t>Existujúci p</w:t>
      </w:r>
      <w:r w:rsidRPr="00D83386">
        <w:rPr>
          <w:b/>
        </w:rPr>
        <w:t>otenciál lesného hospodárstva, poľnohospodárskej výroby, ovocinárstva, živočíšnej výroby a spracovateľského priemyslu</w:t>
      </w:r>
      <w:r>
        <w:t>:</w:t>
      </w:r>
    </w:p>
    <w:p w:rsidR="00332909" w:rsidRDefault="00332909" w:rsidP="00C90BE5">
      <w:pPr>
        <w:pStyle w:val="Odsekzoznamu"/>
        <w:numPr>
          <w:ilvl w:val="4"/>
          <w:numId w:val="3"/>
        </w:numPr>
        <w:ind w:left="567" w:hanging="207"/>
      </w:pPr>
      <w:r>
        <w:t>Priestor sa naskytá v oblasti zabezpečenia regionálnej spotreby a finalizácie produktov pre spotrebu v regióne. Zachovávanie, využívanie a rozvoj kvalitného životného prostredia a prírodných zdrojov, ako sú: lesy, orná pôda, podzemné vody- minerálne pramene, lúky a pasienky. Je potrebné nadviazať a podporiť rastlinnú a živočíšnu výrobu, ovocinárstvo a včelárstvo. Prínosnými by mohli byť aj podpora tvorby lokálneho trhu regionálnych produktov, podpora rozvoja lesníctva a drevárstva, s dôrazom na zvyšovanie pridanej hodnoty.</w:t>
      </w:r>
    </w:p>
    <w:p w:rsidR="00332909" w:rsidRPr="00D83386" w:rsidRDefault="00332909" w:rsidP="00C90BE5">
      <w:pPr>
        <w:pStyle w:val="Odsekzoznamu"/>
        <w:numPr>
          <w:ilvl w:val="0"/>
          <w:numId w:val="36"/>
        </w:numPr>
        <w:ind w:left="567" w:hanging="207"/>
        <w:rPr>
          <w:b/>
        </w:rPr>
      </w:pPr>
      <w:r w:rsidRPr="00D83386">
        <w:rPr>
          <w:b/>
        </w:rPr>
        <w:t>Rozvoj odborného školstva a tvorba kvalifikovanej pracovnej sily:</w:t>
      </w:r>
    </w:p>
    <w:p w:rsidR="00332909" w:rsidRDefault="00332909" w:rsidP="00C90BE5">
      <w:pPr>
        <w:pStyle w:val="Odsekzoznamu"/>
        <w:numPr>
          <w:ilvl w:val="5"/>
          <w:numId w:val="4"/>
        </w:numPr>
        <w:ind w:left="567" w:hanging="207"/>
      </w:pPr>
      <w:r>
        <w:t xml:space="preserve">Dôležitým je využitie inovatívneho potenciálu odborného školstva, jeho zosúladenie s dopytom na trhu práce a regionálnou ekonomikou (SOŠ Bardejov, SPŠ Bardejov, SŠ Juraja Henischa, Gymnáziá), Podpora duálneho vzdelávania, vytvorenia regionálneho centra prípravy pre budúce povolanie s podnikateľskými subjektmi v okrese za účelom prepojenia dopytu a ponuky na miestnom trhu práce, vytvorenie IT centra, vybudovanie vzdelávacieho centra, školiaceho a tréningového centra, rozvíjať spoluprácu s UPSVaR pri využívaní nástrojov aktívnej politiky trhu práce (ďalej iba „APTP“) a národných projektov, inovácia odborných učební </w:t>
      </w:r>
      <w:r w:rsidR="00D83386">
        <w:t>SOŠ</w:t>
      </w:r>
      <w:r>
        <w:t>.</w:t>
      </w:r>
    </w:p>
    <w:p w:rsidR="00332909" w:rsidRPr="00D83386" w:rsidRDefault="00332909" w:rsidP="00C90BE5">
      <w:pPr>
        <w:pStyle w:val="Odsekzoznamu"/>
        <w:numPr>
          <w:ilvl w:val="0"/>
          <w:numId w:val="36"/>
        </w:numPr>
        <w:ind w:left="567" w:hanging="207"/>
        <w:rPr>
          <w:b/>
        </w:rPr>
      </w:pPr>
      <w:r w:rsidRPr="00D83386">
        <w:rPr>
          <w:b/>
        </w:rPr>
        <w:t>Prírodné a kultúrno-historické dedičstvo ako dôležitý nástroj pre rozvoj turizmu a cestovného ruchu:</w:t>
      </w:r>
    </w:p>
    <w:p w:rsidR="00332909" w:rsidRDefault="00332909" w:rsidP="00C90BE5">
      <w:pPr>
        <w:pStyle w:val="Odsekzoznamu"/>
        <w:numPr>
          <w:ilvl w:val="0"/>
          <w:numId w:val="5"/>
        </w:numPr>
        <w:ind w:left="567" w:hanging="207"/>
      </w:pPr>
      <w:r>
        <w:t>potrebné klásť dôraz na využitie a rozvoj existujúcich predpokladov v oblasti kultúrno-poznávacieho turizmu, kúpeľno-rekreačného turizmu, kongresového turizmu, vidieckej turistiky a agroturizmu resp. ekoturizmus, wellnes, náboženského turizmu - pútnictvo, (Bardejov- svetové dedičstvo UNESCO, Bardejovské kúpele, drevené chrámy, zrúcanina stredovekého hradu Zborov- Makovica)</w:t>
      </w:r>
      <w:r>
        <w:rPr>
          <w:rStyle w:val="Odkaznakomentr"/>
        </w:rPr>
        <w:t>,</w:t>
      </w:r>
      <w:r>
        <w:t xml:space="preserve"> baníckej histórie, minerálnych prameňov, tradičných kultúrno-spoločenských podujatí v okrese či existenciu záujmových združení a folklórnych skupín zameraných na zachovanie ľudových tradícií.</w:t>
      </w:r>
    </w:p>
    <w:p w:rsidR="00332909" w:rsidRPr="00D83386" w:rsidRDefault="00332909" w:rsidP="00C90BE5">
      <w:pPr>
        <w:pStyle w:val="Odsekzoznamu"/>
        <w:numPr>
          <w:ilvl w:val="0"/>
          <w:numId w:val="36"/>
        </w:numPr>
        <w:ind w:left="567" w:hanging="207"/>
        <w:rPr>
          <w:b/>
        </w:rPr>
      </w:pPr>
      <w:r w:rsidRPr="00D83386">
        <w:rPr>
          <w:b/>
        </w:rPr>
        <w:t>Zabezpečenie dostupnosti okresu jeho pripojením na hlavné dopravné trasy:</w:t>
      </w:r>
    </w:p>
    <w:p w:rsidR="00332909" w:rsidRDefault="00332909" w:rsidP="00C90BE5">
      <w:pPr>
        <w:pStyle w:val="Odsekzoznamu"/>
        <w:numPr>
          <w:ilvl w:val="0"/>
          <w:numId w:val="6"/>
        </w:numPr>
        <w:ind w:left="567" w:hanging="207"/>
      </w:pPr>
      <w:r>
        <w:t xml:space="preserve">Modernizácia cestnej infraštruktúry, </w:t>
      </w:r>
      <w:r>
        <w:rPr>
          <w:bCs/>
        </w:rPr>
        <w:t>zlepšenie pripojenia okresu na hlavné dopravné trasy, modernizácia železničného prepojenia z Prešova do Bardejova.</w:t>
      </w:r>
    </w:p>
    <w:p w:rsidR="00332909" w:rsidRDefault="00332909" w:rsidP="00C90BE5">
      <w:pPr>
        <w:pStyle w:val="Odsekzoznamu"/>
        <w:numPr>
          <w:ilvl w:val="0"/>
          <w:numId w:val="6"/>
        </w:numPr>
        <w:ind w:left="567" w:hanging="207"/>
      </w:pPr>
      <w:r>
        <w:rPr>
          <w:bCs/>
        </w:rPr>
        <w:lastRenderedPageBreak/>
        <w:t>Rekonštrukcia a modernizácia komunikácií vrátane napojenia na rýchlostné komunikácie,         výstavba cyklotrás, cyklochodníkov a pod.</w:t>
      </w:r>
    </w:p>
    <w:p w:rsidR="00D83386" w:rsidRDefault="00332909" w:rsidP="00C90BE5">
      <w:pPr>
        <w:pStyle w:val="Odsekzoznamu"/>
        <w:numPr>
          <w:ilvl w:val="0"/>
          <w:numId w:val="36"/>
        </w:numPr>
        <w:ind w:left="567" w:hanging="207"/>
        <w:rPr>
          <w:b/>
        </w:rPr>
      </w:pPr>
      <w:r w:rsidRPr="00D83386">
        <w:rPr>
          <w:b/>
        </w:rPr>
        <w:t>Existujúce priestory na rozvoj podnikania:</w:t>
      </w:r>
    </w:p>
    <w:p w:rsidR="00332909" w:rsidRPr="00D83386" w:rsidRDefault="00332909" w:rsidP="00C90BE5">
      <w:pPr>
        <w:pStyle w:val="Odsekzoznamu"/>
        <w:numPr>
          <w:ilvl w:val="0"/>
          <w:numId w:val="6"/>
        </w:numPr>
        <w:ind w:left="567" w:hanging="207"/>
        <w:rPr>
          <w:b/>
        </w:rPr>
      </w:pPr>
      <w:r>
        <w:t>Využitie pôvodných priemyselných areálov so zachovalými výrobnými halami, skladovými priestormi administratívnymi budovami (priemyselný park Bardejov).</w:t>
      </w:r>
    </w:p>
    <w:p w:rsidR="00332909" w:rsidRDefault="00332909" w:rsidP="00D83386">
      <w:pPr>
        <w:rPr>
          <w:rFonts w:cs="Times New Roman"/>
          <w:b/>
        </w:rPr>
      </w:pPr>
      <w:r>
        <w:rPr>
          <w:rFonts w:cs="Times New Roman"/>
          <w:b/>
        </w:rPr>
        <w:t xml:space="preserve">Bariéry rozvoja okresu Bardejov: </w:t>
      </w:r>
    </w:p>
    <w:p w:rsidR="00332909" w:rsidRPr="00D83386" w:rsidRDefault="00332909" w:rsidP="00C90BE5">
      <w:pPr>
        <w:pStyle w:val="Odsekzoznamu"/>
        <w:numPr>
          <w:ilvl w:val="0"/>
          <w:numId w:val="37"/>
        </w:numPr>
        <w:ind w:left="426" w:hanging="295"/>
        <w:rPr>
          <w:b/>
        </w:rPr>
      </w:pPr>
      <w:r w:rsidRPr="00D83386">
        <w:rPr>
          <w:b/>
        </w:rPr>
        <w:t>Nedostatočnosť plánovania a riadenia rozvoja:</w:t>
      </w:r>
    </w:p>
    <w:p w:rsidR="00332909" w:rsidRDefault="00332909" w:rsidP="00C90BE5">
      <w:pPr>
        <w:pStyle w:val="Odsekzoznamu"/>
        <w:numPr>
          <w:ilvl w:val="0"/>
          <w:numId w:val="7"/>
        </w:numPr>
        <w:ind w:left="426" w:hanging="295"/>
      </w:pPr>
      <w:r>
        <w:t>Nízka miera spolupráce v okrese medzi samosprávou a štátnou správou, absencia efektívnych štruktúr manažmentu regionálneho rozvoja a poskytovania služieb miestnym zamestnávateľom a inštitúciám.</w:t>
      </w:r>
    </w:p>
    <w:p w:rsidR="00332909" w:rsidRPr="00D83386" w:rsidRDefault="00D83386" w:rsidP="00C90BE5">
      <w:pPr>
        <w:pStyle w:val="Odsekzoznamu"/>
        <w:numPr>
          <w:ilvl w:val="0"/>
          <w:numId w:val="37"/>
        </w:numPr>
        <w:ind w:left="426" w:hanging="295"/>
        <w:rPr>
          <w:b/>
        </w:rPr>
      </w:pPr>
      <w:r>
        <w:rPr>
          <w:b/>
        </w:rPr>
        <w:t xml:space="preserve"> </w:t>
      </w:r>
      <w:r w:rsidR="00332909" w:rsidRPr="00D83386">
        <w:rPr>
          <w:b/>
        </w:rPr>
        <w:t>Nedostatok disponibilných pracovných síl:</w:t>
      </w:r>
    </w:p>
    <w:p w:rsidR="00332909" w:rsidRDefault="00332909" w:rsidP="00C90BE5">
      <w:pPr>
        <w:pStyle w:val="Odsekzoznamu"/>
        <w:numPr>
          <w:ilvl w:val="0"/>
          <w:numId w:val="8"/>
        </w:numPr>
        <w:tabs>
          <w:tab w:val="left" w:pos="1194"/>
        </w:tabs>
        <w:ind w:left="426" w:hanging="295"/>
      </w:pPr>
      <w:r>
        <w:t xml:space="preserve">Vysoká miera nezamestnanosti, vysoký podiel dlhodobo nezamestnaných uchádzačov o zamestnanie, nízka kvalifikačná úroveň pracovnej sily a nedostatočné pracovné návyky UoZ. </w:t>
      </w:r>
    </w:p>
    <w:p w:rsidR="00332909" w:rsidRDefault="00332909" w:rsidP="00C90BE5">
      <w:pPr>
        <w:pStyle w:val="Odsekzoznamu"/>
        <w:numPr>
          <w:ilvl w:val="0"/>
          <w:numId w:val="8"/>
        </w:numPr>
        <w:tabs>
          <w:tab w:val="left" w:pos="1194"/>
        </w:tabs>
        <w:ind w:left="426" w:hanging="295"/>
      </w:pPr>
      <w:r>
        <w:t>Nedostatočná väzba medzi vzdelávacími inštitúciami o a potrebou trhu práce.</w:t>
      </w:r>
    </w:p>
    <w:p w:rsidR="00332909" w:rsidRDefault="00332909" w:rsidP="00C90BE5">
      <w:pPr>
        <w:pStyle w:val="Odsekzoznamu"/>
        <w:numPr>
          <w:ilvl w:val="0"/>
          <w:numId w:val="8"/>
        </w:numPr>
        <w:tabs>
          <w:tab w:val="left" w:pos="1194"/>
        </w:tabs>
        <w:ind w:left="426" w:hanging="295"/>
      </w:pPr>
      <w:r>
        <w:rPr>
          <w:rFonts w:eastAsia="Times New Roman"/>
          <w:bCs/>
          <w:iCs/>
        </w:rPr>
        <w:t>Nedostatočne využitý existujúci ľudský potenciál a jeho previazanosť s odborným školstvom.</w:t>
      </w:r>
    </w:p>
    <w:p w:rsidR="00332909" w:rsidRDefault="00332909" w:rsidP="00C90BE5">
      <w:pPr>
        <w:pStyle w:val="Odsekzoznamu"/>
        <w:numPr>
          <w:ilvl w:val="0"/>
          <w:numId w:val="8"/>
        </w:numPr>
        <w:ind w:left="426" w:hanging="295"/>
        <w:rPr>
          <w:rFonts w:eastAsia="Times New Roman"/>
          <w:bCs/>
          <w:iCs/>
        </w:rPr>
      </w:pPr>
      <w:r>
        <w:t>Finančná poddimenzovanosť odborného školstva</w:t>
      </w:r>
      <w:r>
        <w:rPr>
          <w:rFonts w:eastAsia="Times New Roman"/>
          <w:bCs/>
          <w:iCs/>
        </w:rPr>
        <w:t>.</w:t>
      </w:r>
    </w:p>
    <w:p w:rsidR="00332909" w:rsidRDefault="00332909" w:rsidP="00C90BE5">
      <w:pPr>
        <w:pStyle w:val="Odsekzoznamu"/>
        <w:numPr>
          <w:ilvl w:val="0"/>
          <w:numId w:val="8"/>
        </w:numPr>
        <w:ind w:left="426" w:hanging="295"/>
        <w:rPr>
          <w:rFonts w:eastAsia="Times New Roman"/>
          <w:bCs/>
          <w:iCs/>
        </w:rPr>
      </w:pPr>
      <w:r>
        <w:t xml:space="preserve">Nekorešpondovanie študijných odborov s potrebami zamestnávateľov v okrese. </w:t>
      </w:r>
    </w:p>
    <w:p w:rsidR="00332909" w:rsidRPr="00D83386" w:rsidRDefault="00332909" w:rsidP="00C90BE5">
      <w:pPr>
        <w:pStyle w:val="Odsekzoznamu"/>
        <w:numPr>
          <w:ilvl w:val="0"/>
          <w:numId w:val="37"/>
        </w:numPr>
        <w:ind w:left="426" w:hanging="295"/>
        <w:rPr>
          <w:rFonts w:eastAsia="Times New Roman"/>
          <w:b/>
          <w:bCs/>
          <w:iCs/>
        </w:rPr>
      </w:pPr>
      <w:r w:rsidRPr="00D83386">
        <w:rPr>
          <w:rFonts w:eastAsia="Times New Roman"/>
          <w:b/>
          <w:bCs/>
          <w:iCs/>
        </w:rPr>
        <w:t>Nedostatočná podpora lokálnej výroby, poľnohospodárstva a ďalších spracovateľských odvetví:</w:t>
      </w:r>
    </w:p>
    <w:p w:rsidR="00332909" w:rsidRDefault="00332909" w:rsidP="00C90BE5">
      <w:pPr>
        <w:pStyle w:val="Odsekzoznamu"/>
        <w:numPr>
          <w:ilvl w:val="0"/>
          <w:numId w:val="9"/>
        </w:numPr>
        <w:ind w:left="426" w:hanging="295"/>
        <w:rPr>
          <w:rFonts w:eastAsia="Times New Roman"/>
          <w:bCs/>
          <w:iCs/>
        </w:rPr>
      </w:pPr>
      <w:r>
        <w:rPr>
          <w:rFonts w:eastAsia="Times New Roman"/>
          <w:bCs/>
          <w:iCs/>
        </w:rPr>
        <w:t>Prevaha vývozu domácich surovín, dovoz hotových výrobkov.</w:t>
      </w:r>
    </w:p>
    <w:p w:rsidR="00332909" w:rsidRDefault="00332909" w:rsidP="00C90BE5">
      <w:pPr>
        <w:pStyle w:val="Odsekzoznamu"/>
        <w:numPr>
          <w:ilvl w:val="0"/>
          <w:numId w:val="9"/>
        </w:numPr>
        <w:ind w:left="426" w:hanging="295"/>
        <w:rPr>
          <w:rFonts w:eastAsia="Times New Roman"/>
          <w:bCs/>
          <w:iCs/>
        </w:rPr>
      </w:pPr>
      <w:r>
        <w:t>Nedostatok vysoko-kvalifikovanej pracovnej sily a podnikateľských schopností.</w:t>
      </w:r>
    </w:p>
    <w:p w:rsidR="00332909" w:rsidRDefault="00332909" w:rsidP="00C90BE5">
      <w:pPr>
        <w:pStyle w:val="Odsekzoznamu"/>
        <w:numPr>
          <w:ilvl w:val="0"/>
          <w:numId w:val="9"/>
        </w:numPr>
        <w:ind w:left="426" w:hanging="295"/>
        <w:rPr>
          <w:rFonts w:eastAsia="Times New Roman"/>
          <w:b/>
          <w:bCs/>
          <w:i/>
          <w:iCs/>
          <w:u w:val="single"/>
        </w:rPr>
      </w:pPr>
      <w:r>
        <w:t xml:space="preserve">Finančne poddimenzovaná podpora podnikania. </w:t>
      </w:r>
    </w:p>
    <w:p w:rsidR="00332909" w:rsidRDefault="00332909" w:rsidP="00C90BE5">
      <w:pPr>
        <w:pStyle w:val="Odsekzoznamu"/>
        <w:numPr>
          <w:ilvl w:val="0"/>
          <w:numId w:val="9"/>
        </w:numPr>
        <w:ind w:left="426" w:hanging="295"/>
        <w:rPr>
          <w:rFonts w:eastAsia="Times New Roman"/>
          <w:bCs/>
          <w:iCs/>
        </w:rPr>
      </w:pPr>
      <w:r>
        <w:rPr>
          <w:rFonts w:eastAsia="Times New Roman"/>
          <w:bCs/>
          <w:iCs/>
        </w:rPr>
        <w:t>Nevysporiadané vlastnícke vzťahy, rozdrobenosť vlastníctva pôdy.</w:t>
      </w:r>
    </w:p>
    <w:p w:rsidR="00332909" w:rsidRPr="00D83386" w:rsidRDefault="00332909" w:rsidP="00C90BE5">
      <w:pPr>
        <w:pStyle w:val="Odsekzoznamu"/>
        <w:numPr>
          <w:ilvl w:val="0"/>
          <w:numId w:val="37"/>
        </w:numPr>
        <w:ind w:left="426" w:hanging="295"/>
        <w:rPr>
          <w:rFonts w:eastAsia="Times New Roman"/>
          <w:b/>
          <w:bCs/>
          <w:iCs/>
        </w:rPr>
      </w:pPr>
      <w:r w:rsidRPr="00D83386">
        <w:rPr>
          <w:rFonts w:eastAsia="Times New Roman"/>
          <w:b/>
          <w:bCs/>
          <w:iCs/>
        </w:rPr>
        <w:t>Nepriaznivé dôsledky poveternostných vplyvov a nedostatočného riešenia otázok vo vzťahu k ochrane životného prostredia:</w:t>
      </w:r>
    </w:p>
    <w:p w:rsidR="00332909" w:rsidRDefault="00332909" w:rsidP="00C90BE5">
      <w:pPr>
        <w:pStyle w:val="Odsekzoznamu"/>
        <w:numPr>
          <w:ilvl w:val="0"/>
          <w:numId w:val="10"/>
        </w:numPr>
        <w:ind w:left="426" w:hanging="295"/>
        <w:rPr>
          <w:rFonts w:eastAsia="Times New Roman"/>
          <w:b/>
          <w:bCs/>
          <w:i/>
          <w:iCs/>
          <w:u w:val="single"/>
        </w:rPr>
      </w:pPr>
      <w:r>
        <w:t>Ohrozovanie územia povodňami, nízke investície do ochrany pred povodňami.</w:t>
      </w:r>
    </w:p>
    <w:p w:rsidR="00332909" w:rsidRDefault="00332909" w:rsidP="00C90BE5">
      <w:pPr>
        <w:pStyle w:val="Odsekzoznamu"/>
        <w:numPr>
          <w:ilvl w:val="0"/>
          <w:numId w:val="10"/>
        </w:numPr>
        <w:ind w:left="426" w:hanging="295"/>
        <w:rPr>
          <w:rFonts w:eastAsia="Times New Roman"/>
          <w:b/>
          <w:bCs/>
          <w:i/>
          <w:iCs/>
          <w:u w:val="single"/>
        </w:rPr>
      </w:pPr>
      <w:r>
        <w:t xml:space="preserve">Nedobudovaná infraštruktúra odpadového hospodárstva. </w:t>
      </w:r>
    </w:p>
    <w:p w:rsidR="00332909" w:rsidRDefault="00332909" w:rsidP="00C90BE5">
      <w:pPr>
        <w:pStyle w:val="Odsekzoznamu"/>
        <w:numPr>
          <w:ilvl w:val="0"/>
          <w:numId w:val="10"/>
        </w:numPr>
        <w:ind w:left="426" w:hanging="295"/>
        <w:rPr>
          <w:rFonts w:eastAsia="Times New Roman"/>
          <w:bCs/>
          <w:iCs/>
        </w:rPr>
      </w:pPr>
      <w:r>
        <w:t xml:space="preserve"> Nízka uvedomelosť občanov vo vzťahu k životnému prostrediu.</w:t>
      </w:r>
    </w:p>
    <w:p w:rsidR="00332909" w:rsidRDefault="00332909" w:rsidP="00C90BE5">
      <w:pPr>
        <w:pStyle w:val="Odsekzoznamu"/>
        <w:numPr>
          <w:ilvl w:val="0"/>
          <w:numId w:val="37"/>
        </w:numPr>
        <w:ind w:left="426" w:hanging="295"/>
        <w:rPr>
          <w:rFonts w:eastAsia="Times New Roman"/>
          <w:b/>
          <w:bCs/>
          <w:iCs/>
        </w:rPr>
      </w:pPr>
      <w:r>
        <w:rPr>
          <w:rFonts w:eastAsia="Times New Roman"/>
          <w:b/>
          <w:bCs/>
          <w:iCs/>
        </w:rPr>
        <w:t>Nedostatočné využívanie prírodných zdrojov, kultúrno-historického potenciálu územia okresu:</w:t>
      </w:r>
    </w:p>
    <w:p w:rsidR="00332909" w:rsidRDefault="00332909" w:rsidP="00C90BE5">
      <w:pPr>
        <w:pStyle w:val="Odsekzoznamu"/>
        <w:numPr>
          <w:ilvl w:val="0"/>
          <w:numId w:val="11"/>
        </w:numPr>
        <w:ind w:left="426" w:hanging="295"/>
        <w:rPr>
          <w:rFonts w:eastAsia="Times New Roman"/>
          <w:b/>
          <w:bCs/>
          <w:i/>
          <w:iCs/>
          <w:u w:val="single"/>
        </w:rPr>
      </w:pPr>
      <w:r>
        <w:t xml:space="preserve">Zlý technický stav kultúrnych a historických pamiatok. </w:t>
      </w:r>
    </w:p>
    <w:p w:rsidR="00332909" w:rsidRDefault="00332909" w:rsidP="00C90BE5">
      <w:pPr>
        <w:pStyle w:val="Odsekzoznamu"/>
        <w:numPr>
          <w:ilvl w:val="0"/>
          <w:numId w:val="11"/>
        </w:numPr>
        <w:ind w:left="426" w:hanging="295"/>
        <w:rPr>
          <w:rFonts w:eastAsia="Times New Roman"/>
          <w:b/>
          <w:bCs/>
          <w:i/>
          <w:iCs/>
          <w:u w:val="single"/>
        </w:rPr>
      </w:pPr>
      <w:r>
        <w:t>Nedostatočná prezentácia územia ako celku.</w:t>
      </w:r>
    </w:p>
    <w:p w:rsidR="00332909" w:rsidRDefault="00332909" w:rsidP="00C90BE5">
      <w:pPr>
        <w:pStyle w:val="Odsekzoznamu"/>
        <w:numPr>
          <w:ilvl w:val="0"/>
          <w:numId w:val="11"/>
        </w:numPr>
        <w:ind w:left="426" w:hanging="295"/>
        <w:rPr>
          <w:rFonts w:eastAsia="Times New Roman"/>
          <w:b/>
          <w:bCs/>
          <w:i/>
          <w:iCs/>
          <w:u w:val="single"/>
        </w:rPr>
      </w:pPr>
      <w:r>
        <w:t>Nedostatočná infraštruktúra na podporu cestovného ruchu, zanedbávanie podpory vidieckej turistiky.</w:t>
      </w:r>
    </w:p>
    <w:p w:rsidR="00332909" w:rsidRDefault="00332909" w:rsidP="00C90BE5">
      <w:pPr>
        <w:pStyle w:val="Odsekzoznamu"/>
        <w:numPr>
          <w:ilvl w:val="0"/>
          <w:numId w:val="37"/>
        </w:numPr>
        <w:ind w:left="426" w:hanging="295"/>
        <w:rPr>
          <w:rFonts w:eastAsia="Times New Roman"/>
          <w:b/>
          <w:bCs/>
          <w:iCs/>
        </w:rPr>
      </w:pPr>
      <w:r>
        <w:rPr>
          <w:rFonts w:eastAsia="Times New Roman"/>
          <w:b/>
          <w:bCs/>
          <w:iCs/>
        </w:rPr>
        <w:t>Nedostatočná dopravná dostupnosť okresu a trhu práce:</w:t>
      </w:r>
    </w:p>
    <w:p w:rsidR="00332909" w:rsidRDefault="00332909" w:rsidP="00C90BE5">
      <w:pPr>
        <w:pStyle w:val="Odsekzoznamu"/>
        <w:numPr>
          <w:ilvl w:val="0"/>
          <w:numId w:val="12"/>
        </w:numPr>
        <w:ind w:left="426" w:hanging="295"/>
        <w:rPr>
          <w:bCs/>
        </w:rPr>
      </w:pPr>
      <w:r>
        <w:rPr>
          <w:bCs/>
        </w:rPr>
        <w:t>Zlá dostupnosť resp. pripojenie okresu a regiónu na hlavné dopravné trasy, z hľadiska údržby a stavu povrchov vozoviek nevyhovujúce cesty I. a II. triedy.</w:t>
      </w:r>
    </w:p>
    <w:p w:rsidR="00332909" w:rsidRPr="00D83386" w:rsidRDefault="00332909" w:rsidP="00C90BE5">
      <w:pPr>
        <w:pStyle w:val="Odsekzoznamu"/>
        <w:numPr>
          <w:ilvl w:val="0"/>
          <w:numId w:val="12"/>
        </w:numPr>
        <w:ind w:left="426" w:hanging="295"/>
      </w:pPr>
      <w:r>
        <w:rPr>
          <w:bCs/>
        </w:rPr>
        <w:t>Nedobudovaná cestná, železničná a internetová infraštruktúra, nízke investície do infraštruktúry z národných aj európskych zdrojov, využiť zdroje RP na internetové pripojenia.</w:t>
      </w:r>
    </w:p>
    <w:p w:rsidR="00332909" w:rsidRPr="006D2E6D" w:rsidRDefault="00332909" w:rsidP="006D2E6D">
      <w:pPr>
        <w:pStyle w:val="Nadpis1"/>
      </w:pPr>
      <w:bookmarkStart w:id="32" w:name="_Toc517084340"/>
      <w:bookmarkStart w:id="33" w:name="_Toc511211864"/>
      <w:bookmarkStart w:id="34" w:name="_Toc2"/>
      <w:r w:rsidRPr="006D2E6D">
        <w:t>III. Východiská Akčného plánu</w:t>
      </w:r>
      <w:bookmarkEnd w:id="32"/>
      <w:r w:rsidRPr="006D2E6D">
        <w:t xml:space="preserve"> </w:t>
      </w:r>
      <w:bookmarkEnd w:id="33"/>
      <w:bookmarkEnd w:id="34"/>
    </w:p>
    <w:p w:rsidR="00332909" w:rsidRDefault="00332909" w:rsidP="00332909">
      <w:pPr>
        <w:widowControl w:val="0"/>
        <w:rPr>
          <w:rFonts w:cs="Times New Roman"/>
        </w:rPr>
      </w:pPr>
      <w:r>
        <w:rPr>
          <w:rFonts w:cs="Times New Roman"/>
        </w:rPr>
        <w:t xml:space="preserve">Akčný plán vychádza z identifikovaného potenciálu a limitov pre sociálny a ekonomický rozvoj okresu. Rozvoj okresu Bardejov je potrebné zabezpečiť prostredníctvom vlastných kapacít s využitím vlastného potenciálu okresu, zhodnotiť územný kapitál okresu, jeho mesta a obcí, využiť ich konkurenčné výhody a možností rozvoja spolupráce. </w:t>
      </w:r>
      <w:r>
        <w:rPr>
          <w:rFonts w:cs="Times New Roman"/>
          <w:b/>
        </w:rPr>
        <w:t>Tento prístup vytvára predpoklady pre</w:t>
      </w:r>
      <w:r>
        <w:rPr>
          <w:rFonts w:cs="Times New Roman"/>
        </w:rPr>
        <w:t> </w:t>
      </w:r>
      <w:r>
        <w:rPr>
          <w:rFonts w:cs="Times New Roman"/>
          <w:b/>
        </w:rPr>
        <w:t xml:space="preserve"> </w:t>
      </w:r>
      <w:r>
        <w:rPr>
          <w:rFonts w:cs="Times New Roman"/>
          <w:b/>
        </w:rPr>
        <w:lastRenderedPageBreak/>
        <w:t>udržateľný rozvoj okresu s efektívnym využitím intervencie z verejných zdrojov formou podpory realizácie Akčného plánu, ktorého ambíciou je, aby okres Bardejov pre svojich obyvateľov v budúcnosti poskytol</w:t>
      </w:r>
      <w:r>
        <w:rPr>
          <w:rFonts w:cs="Times New Roman"/>
        </w:rPr>
        <w:t>:</w:t>
      </w:r>
    </w:p>
    <w:p w:rsidR="00332909" w:rsidRDefault="00332909" w:rsidP="00C90BE5">
      <w:pPr>
        <w:pStyle w:val="Odsekzoznamu"/>
        <w:numPr>
          <w:ilvl w:val="0"/>
          <w:numId w:val="38"/>
        </w:numPr>
        <w:rPr>
          <w:rFonts w:eastAsia="Times New Roman"/>
        </w:rPr>
      </w:pPr>
      <w:r>
        <w:t>rozvinuté podnikateľské prostredie s dostatkom pracovných príležitostí,</w:t>
      </w:r>
    </w:p>
    <w:p w:rsidR="00332909" w:rsidRDefault="00332909" w:rsidP="00C90BE5">
      <w:pPr>
        <w:pStyle w:val="Odsekzoznamu"/>
        <w:numPr>
          <w:ilvl w:val="0"/>
          <w:numId w:val="38"/>
        </w:numPr>
        <w:rPr>
          <w:rFonts w:eastAsia="Times New Roman"/>
        </w:rPr>
      </w:pPr>
      <w:r>
        <w:t>dobrý prístup ku kvalitnému vzdelávaniu, výchove a sociálnym službám,</w:t>
      </w:r>
    </w:p>
    <w:p w:rsidR="00332909" w:rsidRDefault="00332909" w:rsidP="00C90BE5">
      <w:pPr>
        <w:pStyle w:val="Odsekzoznamu"/>
        <w:numPr>
          <w:ilvl w:val="0"/>
          <w:numId w:val="38"/>
        </w:numPr>
        <w:rPr>
          <w:rFonts w:eastAsia="Times New Roman"/>
        </w:rPr>
      </w:pPr>
      <w:r>
        <w:t>kvalitnú a dostatočnú technickú infraštruktúru, kvalitnú občiansku vybavenosť, sociálne zázemie a dostatok príležitostí na voľnočasové, športové a kultúrne vyžitie,</w:t>
      </w:r>
    </w:p>
    <w:p w:rsidR="00332909" w:rsidRPr="00332909" w:rsidRDefault="00332909" w:rsidP="00C90BE5">
      <w:pPr>
        <w:pStyle w:val="Odsekzoznamu"/>
        <w:widowControl w:val="0"/>
        <w:numPr>
          <w:ilvl w:val="0"/>
          <w:numId w:val="38"/>
        </w:numPr>
        <w:rPr>
          <w:rFonts w:eastAsia="Times New Roman"/>
        </w:rPr>
      </w:pPr>
      <w:r>
        <w:t xml:space="preserve">vysokú kvalitu životného prostredia, so zabezpečenou potrebnou technickou infraštruktúrou- ČOV, kanalizáciou a vodovodov, realizáciou protipovodňových a vodozádržných opatrení. </w:t>
      </w:r>
    </w:p>
    <w:p w:rsidR="00332909" w:rsidRDefault="00332909" w:rsidP="00332909">
      <w:pPr>
        <w:spacing w:before="240"/>
        <w:rPr>
          <w:rFonts w:eastAsia="Times New Roman" w:cs="Times New Roman"/>
          <w:b/>
        </w:rPr>
      </w:pPr>
      <w:r>
        <w:rPr>
          <w:rFonts w:eastAsia="Times New Roman" w:cs="Times New Roman"/>
          <w:b/>
        </w:rPr>
        <w:t xml:space="preserve">Akčný plán charakterizujú nasledujúce princípy: </w:t>
      </w:r>
    </w:p>
    <w:p w:rsidR="00332909" w:rsidRDefault="00332909" w:rsidP="00C90BE5">
      <w:pPr>
        <w:pStyle w:val="Odsekzoznamu"/>
        <w:numPr>
          <w:ilvl w:val="0"/>
          <w:numId w:val="39"/>
        </w:numPr>
      </w:pPr>
      <w:r>
        <w:rPr>
          <w:b/>
        </w:rPr>
        <w:t>Využitie výrobnej základne a voľných kapacít v okrese,</w:t>
      </w:r>
      <w:r>
        <w:t xml:space="preserve"> podpora rozvoja malých a stredných podnikov s využitím podporných programov a vytvorenie vhodného podnikateľského prostredia.</w:t>
      </w:r>
    </w:p>
    <w:p w:rsidR="00332909" w:rsidRDefault="00332909" w:rsidP="00C90BE5">
      <w:pPr>
        <w:pStyle w:val="Odsekzoznamu"/>
        <w:numPr>
          <w:ilvl w:val="0"/>
          <w:numId w:val="39"/>
        </w:numPr>
        <w:rPr>
          <w:rFonts w:eastAsia="Times New Roman"/>
        </w:rPr>
      </w:pPr>
      <w:r>
        <w:rPr>
          <w:b/>
          <w:bCs/>
        </w:rPr>
        <w:t>Efektívne využitie materiálnych a ekonomických zdrojov územia</w:t>
      </w:r>
      <w:r>
        <w:t>, vrátane disponibilnej pracovnej sily, MRK a zníženia odlivu mladých ľudí</w:t>
      </w:r>
    </w:p>
    <w:p w:rsidR="00332909" w:rsidRDefault="00332909" w:rsidP="00C90BE5">
      <w:pPr>
        <w:pStyle w:val="Odsekzoznamu"/>
        <w:numPr>
          <w:ilvl w:val="0"/>
          <w:numId w:val="39"/>
        </w:numPr>
        <w:rPr>
          <w:rFonts w:eastAsia="Times New Roman"/>
        </w:rPr>
      </w:pPr>
      <w:r>
        <w:rPr>
          <w:b/>
          <w:bCs/>
        </w:rPr>
        <w:t>Zvyšovanie pridanej hodnoty</w:t>
      </w:r>
      <w:r>
        <w:t xml:space="preserve"> produktov v okrese.</w:t>
      </w:r>
    </w:p>
    <w:p w:rsidR="00332909" w:rsidRDefault="00332909" w:rsidP="00C90BE5">
      <w:pPr>
        <w:pStyle w:val="Odsekzoznamu"/>
        <w:numPr>
          <w:ilvl w:val="0"/>
          <w:numId w:val="39"/>
        </w:numPr>
      </w:pPr>
      <w:r>
        <w:rPr>
          <w:b/>
        </w:rPr>
        <w:t>Podpora konkurencieschopných podnikateľských subjektov</w:t>
      </w:r>
      <w:r>
        <w:t xml:space="preserve"> s tradíciou a pevnou pozíciou na trhu. Hospodárstvo okresu a okresného mesta je charakterizované priemyselno-poľnohospodárskou výrobou a rozvojom turizmu. Pevné zastúpenie má predovšetkým kožiarenský priemysel, strojárenská výroba, drevospracujúca, potravinárska výroba a odevníctvo. Je potrebné zamerať sa na vytvorenie konkurencieschopných podmienok podnikania prostredníctvom inovácie technologického vybavenia a ďalších podporných investícií, ktoré synergicky vytvoria nové pracovné miesta v okrese.</w:t>
      </w:r>
    </w:p>
    <w:p w:rsidR="00332909" w:rsidRDefault="00332909" w:rsidP="00C90BE5">
      <w:pPr>
        <w:pStyle w:val="Odsekzoznamu"/>
        <w:numPr>
          <w:ilvl w:val="0"/>
          <w:numId w:val="39"/>
        </w:numPr>
        <w:rPr>
          <w:rFonts w:eastAsia="Times New Roman"/>
        </w:rPr>
      </w:pPr>
      <w:r>
        <w:rPr>
          <w:b/>
        </w:rPr>
        <w:t>Zvyšovanie vzdelanostnej úrovne obyvateľstva</w:t>
      </w:r>
      <w:r>
        <w:t xml:space="preserve"> vychádzajúc z reálnych potrieb trhu práce.</w:t>
      </w:r>
    </w:p>
    <w:p w:rsidR="00332909" w:rsidRDefault="00332909" w:rsidP="00C90BE5">
      <w:pPr>
        <w:pStyle w:val="Odsekzoznamu"/>
        <w:numPr>
          <w:ilvl w:val="0"/>
          <w:numId w:val="39"/>
        </w:numPr>
        <w:rPr>
          <w:rFonts w:eastAsia="Times New Roman"/>
        </w:rPr>
      </w:pPr>
      <w:r>
        <w:rPr>
          <w:b/>
          <w:bCs/>
        </w:rPr>
        <w:t>Synergia rôznych zdrojov intervencií</w:t>
      </w:r>
      <w:r>
        <w:t xml:space="preserve"> (EŠIF, SIH, vlastné zdroje, predovšetkým efektívne a koordinované využitie kombinácie súkromných a verejných finančných zdrojov, ako aj využitie inovatívnych riešení založených na koordinácii opatrení integrujúcich ekonomickú, sociálnu a environmentálnu kvalitu rozvoja, cezhraničné a zahraničné skúsenosti).</w:t>
      </w:r>
    </w:p>
    <w:p w:rsidR="00332909" w:rsidRPr="00332909" w:rsidRDefault="00332909" w:rsidP="00C90BE5">
      <w:pPr>
        <w:pStyle w:val="Odsekzoznamu"/>
        <w:numPr>
          <w:ilvl w:val="0"/>
          <w:numId w:val="39"/>
        </w:numPr>
        <w:rPr>
          <w:rFonts w:eastAsia="Times New Roman"/>
        </w:rPr>
      </w:pPr>
      <w:r>
        <w:rPr>
          <w:b/>
          <w:bCs/>
        </w:rPr>
        <w:t xml:space="preserve">Zvyšovanie kvality a dostupnosti verejných služieb a skvalitňovanie infraštruktúry </w:t>
      </w:r>
      <w:r>
        <w:t>vrátane investovania do vlastných kapacít a infraštruktúry s väzbou na piliere rozvojového potenciálu a Rady pre rozvoj najmenej rozvinutých okresov</w:t>
      </w:r>
      <w:r w:rsidR="001A2B87">
        <w:t xml:space="preserve"> </w:t>
      </w:r>
      <w:r w:rsidR="001A2B87">
        <w:rPr>
          <w:rStyle w:val="slostrany"/>
        </w:rPr>
        <w:t>(ďalej len „rada“)</w:t>
      </w:r>
      <w:r>
        <w:t>, podpora pilotných rozvojových projektov.</w:t>
      </w:r>
    </w:p>
    <w:p w:rsidR="00332909" w:rsidRPr="00332909" w:rsidRDefault="00332909" w:rsidP="00332909">
      <w:pPr>
        <w:rPr>
          <w:rFonts w:eastAsia="Times New Roman"/>
        </w:rPr>
      </w:pPr>
    </w:p>
    <w:p w:rsidR="00332909" w:rsidRPr="006D2E6D" w:rsidRDefault="00332909" w:rsidP="006D2E6D">
      <w:pPr>
        <w:pStyle w:val="Nadpis1"/>
      </w:pPr>
      <w:bookmarkStart w:id="35" w:name="_Toc511211865"/>
      <w:bookmarkStart w:id="36" w:name="_Toc3"/>
      <w:bookmarkStart w:id="37" w:name="_Toc517084341"/>
      <w:r w:rsidRPr="006D2E6D">
        <w:t>IV. Strategický cieľ, návrhy opatrení a úloh na zabezpečenie realizácie a plnenia Akčného plánu, časový harmonogram, spôsoby a zdroje financovania</w:t>
      </w:r>
      <w:bookmarkEnd w:id="35"/>
      <w:bookmarkEnd w:id="36"/>
      <w:bookmarkEnd w:id="37"/>
      <w:r w:rsidRPr="006D2E6D">
        <w:t xml:space="preserve"> </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060"/>
      </w:tblGrid>
      <w:tr w:rsidR="00332909" w:rsidTr="00D83386">
        <w:trPr>
          <w:trHeight w:val="300"/>
        </w:trPr>
        <w:tc>
          <w:tcPr>
            <w:tcW w:w="90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
                <w:bCs/>
                <w:bdr w:val="none" w:sz="0" w:space="0" w:color="auto" w:frame="1"/>
                <w:lang w:eastAsia="sk-SK"/>
              </w:rPr>
              <w:t>STRATEGICKÝ CIEĽ</w:t>
            </w:r>
          </w:p>
        </w:tc>
      </w:tr>
      <w:tr w:rsidR="00332909" w:rsidTr="00D83386">
        <w:trPr>
          <w:trHeight w:val="771"/>
        </w:trPr>
        <w:tc>
          <w:tcPr>
            <w:tcW w:w="9060" w:type="dxa"/>
            <w:tcBorders>
              <w:top w:val="single" w:sz="4" w:space="0" w:color="000000"/>
              <w:left w:val="single" w:sz="4" w:space="0" w:color="000000"/>
              <w:bottom w:val="single" w:sz="4" w:space="0" w:color="000000"/>
              <w:right w:val="single" w:sz="4" w:space="0" w:color="000000"/>
            </w:tcBorders>
            <w:shd w:val="clear" w:color="auto" w:fill="auto"/>
            <w:tcMar>
              <w:top w:w="80" w:type="dxa"/>
              <w:left w:w="91" w:type="dxa"/>
              <w:bottom w:w="80" w:type="dxa"/>
              <w:right w:w="80" w:type="dxa"/>
            </w:tcMar>
            <w:vAlign w:val="center"/>
            <w:hideMark/>
          </w:tcPr>
          <w:p w:rsidR="00332909" w:rsidRDefault="00332909">
            <w:pPr>
              <w:spacing w:after="0" w:line="276" w:lineRule="auto"/>
              <w:ind w:left="11"/>
              <w:rPr>
                <w:sz w:val="22"/>
                <w:szCs w:val="22"/>
                <w:bdr w:val="none" w:sz="0" w:space="0" w:color="auto" w:frame="1"/>
                <w:lang w:eastAsia="sk-SK"/>
              </w:rPr>
            </w:pPr>
            <w:r>
              <w:rPr>
                <w:bdr w:val="none" w:sz="0" w:space="0" w:color="auto" w:frame="1"/>
                <w:lang w:eastAsia="sk-SK"/>
              </w:rPr>
              <w:t>Do roku 2022 podporiť rast zamestnanosti a vytvorenie podmienok pre tvorbu 1370 pracovných miest zvýšením kvality a atraktivity okresu Bardejov prostredníctvom využitia prírodného, kultúrneho a ľudského potenciálu územia, dobudovaním infraštruktúry a  rozvojom podnikateľského prostredia.</w:t>
            </w:r>
          </w:p>
        </w:tc>
      </w:tr>
    </w:tbl>
    <w:p w:rsidR="00332909" w:rsidRDefault="00332909" w:rsidP="00332909">
      <w:pPr>
        <w:spacing w:before="240"/>
        <w:ind w:firstLine="708"/>
        <w:rPr>
          <w:rStyle w:val="slostrany"/>
          <w:rFonts w:cs="Times New Roman"/>
        </w:rPr>
      </w:pPr>
      <w:r>
        <w:rPr>
          <w:rStyle w:val="slostrany"/>
        </w:rPr>
        <w:lastRenderedPageBreak/>
        <w:t>Prioritné oblasti rozvoja Akčného plánu sú definované tak, aby sa garantovala obsahová a časová koordinovanosť jednotlivých opatrení a úloh Akčného plánu s využitím finančnej podpory jednotlivých operačných programov v programovom období 2014 – 2020 komplementárne s ďalšími</w:t>
      </w:r>
      <w:r>
        <w:rPr>
          <w:rFonts w:cs="Times New Roman"/>
        </w:rPr>
        <w:t> </w:t>
      </w:r>
      <w:r>
        <w:rPr>
          <w:rStyle w:val="slostrany"/>
          <w:rFonts w:cs="Times New Roman"/>
        </w:rPr>
        <w:t xml:space="preserve">intervenciami zo štátneho rozpočtu a iných zdrojov, vrátane súkromných. Realizácia Akčného plánu bude podporená aj ďalšími systémovými opatreniami vlády SR, VÚC, miest a obcí </w:t>
      </w:r>
      <w:r w:rsidR="001A2B87">
        <w:rPr>
          <w:rStyle w:val="slostrany"/>
          <w:rFonts w:cs="Times New Roman"/>
        </w:rPr>
        <w:t>okresu Bardejov koordinovaných r</w:t>
      </w:r>
      <w:r>
        <w:rPr>
          <w:rStyle w:val="slostrany"/>
          <w:rFonts w:cs="Times New Roman"/>
        </w:rPr>
        <w:t>adou</w:t>
      </w:r>
      <w:r w:rsidR="001A55FA">
        <w:rPr>
          <w:rStyle w:val="slostrany"/>
          <w:rFonts w:cs="Times New Roman"/>
        </w:rPr>
        <w:t xml:space="preserve"> </w:t>
      </w:r>
      <w:r>
        <w:rPr>
          <w:rStyle w:val="slostrany"/>
          <w:rFonts w:cs="Times New Roman"/>
        </w:rPr>
        <w:t xml:space="preserve">podľa zákona </w:t>
      </w:r>
      <w:r w:rsidR="004755AB">
        <w:rPr>
          <w:rFonts w:cs="Times New Roman"/>
        </w:rPr>
        <w:t>č. 336/2015 Z. z. o podpore najmenej rozvinutých okresov a o zmene a doplnení niektorých zákonov v znení neskorších predpisov (ďalej len „zákon č.</w:t>
      </w:r>
      <w:r w:rsidR="004755AB" w:rsidRPr="004755AB">
        <w:rPr>
          <w:rStyle w:val="slostrany"/>
        </w:rPr>
        <w:t xml:space="preserve"> </w:t>
      </w:r>
      <w:r w:rsidR="004755AB">
        <w:rPr>
          <w:rStyle w:val="slostrany"/>
        </w:rPr>
        <w:t> </w:t>
      </w:r>
      <w:r w:rsidR="004755AB">
        <w:rPr>
          <w:rFonts w:cs="Times New Roman"/>
        </w:rPr>
        <w:t>336/2015 Z. z.“)</w:t>
      </w:r>
      <w:r>
        <w:rPr>
          <w:rStyle w:val="slostrany"/>
          <w:rFonts w:cs="Times New Roman"/>
        </w:rPr>
        <w:t xml:space="preserve">. </w:t>
      </w:r>
    </w:p>
    <w:p w:rsidR="00332909" w:rsidRDefault="00332909" w:rsidP="001A2B87">
      <w:pPr>
        <w:ind w:firstLine="708"/>
        <w:rPr>
          <w:rStyle w:val="slostrany"/>
        </w:rPr>
      </w:pPr>
      <w:r>
        <w:rPr>
          <w:rStyle w:val="slostrany"/>
        </w:rPr>
        <w:t>Akčný plán obsahuje systémové opatrenia a aktivity na úrovni okresu, VÚC a štátu. Systémové opatrenia sú zamerané na koordináciu a spoluprácu, majú za cieľ vytvoriť vhodné inštitucionálne prostredie na tvorbu pracovných miest. Kľúčové aktivity vedú priamo k vytvoreniu pracovných miest, alebo odstraňujú prekážky rozvoja zamestnanosti v okrese a sú pilotnými aktivitami, ktoré budú následne replikované v iných odvetviach a lokalitách okresu.</w:t>
      </w:r>
    </w:p>
    <w:p w:rsidR="00332909" w:rsidRDefault="00332909" w:rsidP="00D83386">
      <w:pPr>
        <w:spacing w:before="240"/>
        <w:rPr>
          <w:rStyle w:val="slostrany"/>
          <w:b/>
          <w:bCs/>
        </w:rPr>
      </w:pPr>
      <w:r>
        <w:rPr>
          <w:rStyle w:val="slostrany"/>
        </w:rPr>
        <w:t xml:space="preserve">Akčný plán </w:t>
      </w:r>
      <w:r>
        <w:rPr>
          <w:rStyle w:val="slostrany"/>
          <w:b/>
          <w:bCs/>
        </w:rPr>
        <w:t>obsahuje opatrenia</w:t>
      </w:r>
      <w:r>
        <w:rPr>
          <w:rStyle w:val="slostrany"/>
        </w:rPr>
        <w:t xml:space="preserve"> vo vyššie uvedenej štruktúre</w:t>
      </w:r>
      <w:r>
        <w:rPr>
          <w:rStyle w:val="slostrany"/>
          <w:b/>
          <w:bCs/>
        </w:rPr>
        <w:t xml:space="preserve"> rozdelené do nasledujúcich oblastí: </w:t>
      </w:r>
    </w:p>
    <w:p w:rsidR="00332909" w:rsidRDefault="00332909" w:rsidP="00332909">
      <w:pPr>
        <w:ind w:left="709" w:hanging="283"/>
        <w:rPr>
          <w:rFonts w:eastAsia="Times New Roman" w:cs="Times New Roman"/>
        </w:rPr>
      </w:pPr>
      <w:r>
        <w:rPr>
          <w:rFonts w:cs="Times New Roman"/>
        </w:rPr>
        <w:t>A</w:t>
      </w:r>
      <w:r>
        <w:rPr>
          <w:rFonts w:cs="Times New Roman"/>
          <w:b/>
          <w:bCs/>
        </w:rPr>
        <w:t xml:space="preserve">. </w:t>
      </w:r>
      <w:r>
        <w:rPr>
          <w:rFonts w:cs="Times New Roman"/>
          <w:b/>
        </w:rPr>
        <w:t>Systémové opatrenia</w:t>
      </w:r>
      <w:r>
        <w:rPr>
          <w:rFonts w:cs="Times New Roman"/>
        </w:rPr>
        <w:t xml:space="preserve"> </w:t>
      </w:r>
      <w:r>
        <w:rPr>
          <w:b/>
          <w:bCs/>
        </w:rPr>
        <w:t xml:space="preserve">na úrovni okresu Bardejov </w:t>
      </w:r>
      <w:r>
        <w:rPr>
          <w:rFonts w:cs="Times New Roman"/>
        </w:rPr>
        <w:t>na podporu implementácie rozvojových aktivít a finančných podpôr</w:t>
      </w:r>
    </w:p>
    <w:p w:rsidR="00332909" w:rsidRDefault="00332909" w:rsidP="00332909">
      <w:pPr>
        <w:ind w:left="426"/>
        <w:rPr>
          <w:rFonts w:eastAsia="Times New Roman" w:cs="Times New Roman"/>
        </w:rPr>
      </w:pPr>
      <w:r>
        <w:rPr>
          <w:rFonts w:cs="Times New Roman"/>
        </w:rPr>
        <w:t xml:space="preserve">B. Prioritná oblasť </w:t>
      </w:r>
      <w:r>
        <w:rPr>
          <w:rFonts w:cs="Times New Roman"/>
          <w:b/>
          <w:bCs/>
        </w:rPr>
        <w:t>rozvoja regionálnej ekonomiky a inovácii</w:t>
      </w:r>
    </w:p>
    <w:p w:rsidR="00332909" w:rsidRDefault="00332909" w:rsidP="00332909">
      <w:pPr>
        <w:ind w:left="426"/>
        <w:rPr>
          <w:rFonts w:eastAsia="Times New Roman" w:cs="Times New Roman"/>
        </w:rPr>
      </w:pPr>
      <w:r>
        <w:rPr>
          <w:rFonts w:cs="Times New Roman"/>
        </w:rPr>
        <w:t xml:space="preserve">C. Prioritná oblasť </w:t>
      </w:r>
      <w:r>
        <w:rPr>
          <w:rFonts w:cs="Times New Roman"/>
          <w:b/>
          <w:bCs/>
        </w:rPr>
        <w:t>vzdelávania a adaptácie pracovnej sily na potreby trhu</w:t>
      </w:r>
    </w:p>
    <w:p w:rsidR="00332909" w:rsidRDefault="00332909" w:rsidP="00332909">
      <w:pPr>
        <w:ind w:left="426"/>
        <w:rPr>
          <w:rFonts w:eastAsia="Times New Roman" w:cs="Times New Roman"/>
        </w:rPr>
      </w:pPr>
      <w:r>
        <w:rPr>
          <w:rFonts w:cs="Times New Roman"/>
        </w:rPr>
        <w:t xml:space="preserve">D. Prioritná oblasť </w:t>
      </w:r>
      <w:r>
        <w:rPr>
          <w:rFonts w:cs="Times New Roman"/>
          <w:b/>
          <w:bCs/>
        </w:rPr>
        <w:t>budovanie infraštruktúry, zvýšenie kvality a dostupnosti služieb</w:t>
      </w:r>
      <w:r>
        <w:rPr>
          <w:rFonts w:cs="Times New Roman"/>
        </w:rPr>
        <w:t>,</w:t>
      </w:r>
    </w:p>
    <w:p w:rsidR="00332909" w:rsidRDefault="00332909" w:rsidP="00332909">
      <w:pPr>
        <w:ind w:left="425"/>
        <w:rPr>
          <w:rFonts w:eastAsia="Times New Roman" w:cs="Times New Roman"/>
        </w:rPr>
      </w:pPr>
      <w:r>
        <w:rPr>
          <w:rFonts w:cs="Times New Roman"/>
        </w:rPr>
        <w:t xml:space="preserve">E. Prioritná oblasť </w:t>
      </w:r>
      <w:r>
        <w:rPr>
          <w:rFonts w:cs="Times New Roman"/>
          <w:b/>
          <w:bCs/>
        </w:rPr>
        <w:t>starostlivosť o životné prostredie</w:t>
      </w:r>
    </w:p>
    <w:p w:rsidR="00332909" w:rsidRDefault="00332909" w:rsidP="00332909">
      <w:pPr>
        <w:ind w:firstLine="425"/>
        <w:rPr>
          <w:rFonts w:eastAsia="Times New Roman" w:cs="Times New Roman"/>
        </w:rPr>
      </w:pPr>
      <w:r>
        <w:rPr>
          <w:rFonts w:cs="Times New Roman"/>
        </w:rPr>
        <w:t xml:space="preserve">F. </w:t>
      </w:r>
      <w:r>
        <w:rPr>
          <w:rFonts w:cs="Times New Roman"/>
          <w:b/>
        </w:rPr>
        <w:t>Podporné systémové opatrenia</w:t>
      </w:r>
      <w:r>
        <w:rPr>
          <w:rFonts w:cs="Times New Roman"/>
        </w:rPr>
        <w:t xml:space="preserve"> na realizáciu Akčného plánu </w:t>
      </w:r>
      <w:r>
        <w:rPr>
          <w:rFonts w:cs="Times New Roman"/>
          <w:b/>
        </w:rPr>
        <w:t>na úrovni PSK</w:t>
      </w:r>
    </w:p>
    <w:p w:rsidR="00332909" w:rsidRDefault="00332909" w:rsidP="00332909">
      <w:pPr>
        <w:ind w:left="709" w:hanging="283"/>
        <w:rPr>
          <w:rFonts w:eastAsia="Times New Roman" w:cs="Times New Roman"/>
          <w:b/>
          <w:bCs/>
        </w:rPr>
      </w:pPr>
      <w:r>
        <w:rPr>
          <w:rFonts w:cs="Times New Roman"/>
        </w:rPr>
        <w:t xml:space="preserve">G. </w:t>
      </w:r>
      <w:r>
        <w:rPr>
          <w:rFonts w:cs="Times New Roman"/>
          <w:b/>
        </w:rPr>
        <w:t>Podporné systémové opatrenia</w:t>
      </w:r>
      <w:r>
        <w:rPr>
          <w:rFonts w:cs="Times New Roman"/>
        </w:rPr>
        <w:t xml:space="preserve"> na realizáciu Akčného plánu </w:t>
      </w:r>
      <w:r>
        <w:rPr>
          <w:rFonts w:cs="Times New Roman"/>
          <w:b/>
        </w:rPr>
        <w:t>na úrovni ústrednej štátnej správy</w:t>
      </w:r>
    </w:p>
    <w:p w:rsidR="00332909" w:rsidRPr="00332909" w:rsidRDefault="00332909" w:rsidP="00332909">
      <w:pPr>
        <w:rPr>
          <w:rFonts w:cs="Times New Roman"/>
        </w:rPr>
      </w:pPr>
      <w:r>
        <w:rPr>
          <w:rFonts w:cs="Times New Roman"/>
        </w:rPr>
        <w:t>Nasledujúca tabuľka uvádza stručný prehľad systémových opatrení, prioritných oblastí a aktivít Akčného plánu.</w:t>
      </w:r>
    </w:p>
    <w:tbl>
      <w:tblPr>
        <w:tblStyle w:val="TableNormal"/>
        <w:tblW w:w="8880"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2"/>
        <w:gridCol w:w="570"/>
        <w:gridCol w:w="7148"/>
      </w:tblGrid>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hideMark/>
          </w:tcPr>
          <w:p w:rsidR="00332909" w:rsidRDefault="00332909">
            <w:pPr>
              <w:spacing w:after="0" w:line="276" w:lineRule="auto"/>
              <w:jc w:val="center"/>
              <w:rPr>
                <w:b/>
                <w:bCs/>
                <w:sz w:val="22"/>
                <w:szCs w:val="22"/>
                <w:bdr w:val="none" w:sz="0" w:space="0" w:color="auto" w:frame="1"/>
                <w:lang w:eastAsia="sk-SK"/>
              </w:rPr>
            </w:pPr>
            <w:bookmarkStart w:id="38" w:name="_Hlk500166223"/>
            <w:r>
              <w:rPr>
                <w:b/>
                <w:bCs/>
                <w:bdr w:val="none" w:sz="0" w:space="0" w:color="auto" w:frame="1"/>
                <w:lang w:eastAsia="sk-SK"/>
              </w:rPr>
              <w:t xml:space="preserve">Systémové opatrenia a kľúčové aktivity Akčného plánu </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1247" w:type="dxa"/>
              <w:bottom w:w="80" w:type="dxa"/>
              <w:right w:w="80" w:type="dxa"/>
            </w:tcMar>
            <w:vAlign w:val="center"/>
            <w:hideMark/>
          </w:tcPr>
          <w:p w:rsidR="00332909" w:rsidRDefault="00332909">
            <w:pPr>
              <w:spacing w:after="0" w:line="276" w:lineRule="auto"/>
              <w:ind w:left="-678" w:hanging="290"/>
              <w:rPr>
                <w:sz w:val="22"/>
                <w:szCs w:val="22"/>
                <w:bdr w:val="none" w:sz="0" w:space="0" w:color="auto" w:frame="1"/>
                <w:lang w:eastAsia="sk-SK"/>
              </w:rPr>
            </w:pPr>
            <w:r>
              <w:rPr>
                <w:b/>
                <w:bCs/>
                <w:bdr w:val="none" w:sz="0" w:space="0" w:color="auto" w:frame="1"/>
                <w:lang w:eastAsia="sk-SK"/>
              </w:rPr>
              <w:t xml:space="preserve">A. Systémové opatrenia Akčného plánu na úrovni okresu Bardejov </w:t>
            </w:r>
          </w:p>
        </w:tc>
      </w:tr>
      <w:tr w:rsidR="00332909" w:rsidTr="00332909">
        <w:trPr>
          <w:jc w:val="center"/>
        </w:trPr>
        <w:tc>
          <w:tcPr>
            <w:tcW w:w="1163"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Opatrenie</w:t>
            </w: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A1.</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1A55FA" w:rsidP="006D2E6D">
            <w:pPr>
              <w:spacing w:after="0" w:line="276" w:lineRule="auto"/>
              <w:rPr>
                <w:sz w:val="22"/>
                <w:szCs w:val="22"/>
                <w:bdr w:val="none" w:sz="0" w:space="0" w:color="auto" w:frame="1"/>
                <w:lang w:eastAsia="sk-SK"/>
              </w:rPr>
            </w:pPr>
            <w:r>
              <w:rPr>
                <w:bdr w:val="none" w:sz="0" w:space="0" w:color="auto" w:frame="1"/>
                <w:lang w:eastAsia="sk-SK"/>
              </w:rPr>
              <w:t>Vytvorenie v</w:t>
            </w:r>
            <w:r w:rsidR="00332909">
              <w:rPr>
                <w:bdr w:val="none" w:sz="0" w:space="0" w:color="auto" w:frame="1"/>
                <w:lang w:eastAsia="sk-SK"/>
              </w:rPr>
              <w:t xml:space="preserve">ýboru </w:t>
            </w:r>
          </w:p>
        </w:tc>
      </w:tr>
      <w:tr w:rsidR="00332909" w:rsidTr="00332909">
        <w:trPr>
          <w:jc w:val="center"/>
        </w:trPr>
        <w:tc>
          <w:tcPr>
            <w:tcW w:w="1163"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2909" w:rsidRDefault="00332909">
            <w:pPr>
              <w:spacing w:after="0" w:line="276" w:lineRule="auto"/>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A2.</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106" w:type="dxa"/>
              <w:bottom w:w="80" w:type="dxa"/>
              <w:right w:w="80" w:type="dxa"/>
            </w:tcMar>
            <w:vAlign w:val="center"/>
            <w:hideMark/>
          </w:tcPr>
          <w:p w:rsidR="00332909" w:rsidRDefault="00332909">
            <w:pPr>
              <w:spacing w:after="0" w:line="276" w:lineRule="auto"/>
              <w:ind w:left="2"/>
              <w:rPr>
                <w:sz w:val="22"/>
                <w:szCs w:val="22"/>
                <w:bdr w:val="none" w:sz="0" w:space="0" w:color="auto" w:frame="1"/>
                <w:lang w:eastAsia="sk-SK"/>
              </w:rPr>
            </w:pPr>
            <w:r>
              <w:rPr>
                <w:bdr w:val="none" w:sz="0" w:space="0" w:color="auto" w:frame="1"/>
                <w:lang w:eastAsia="sk-SK"/>
              </w:rPr>
              <w:t xml:space="preserve">Vytvorenie Centra podpory regionálneho rozvoja okresu Bardejov </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1247" w:type="dxa"/>
              <w:bottom w:w="80" w:type="dxa"/>
              <w:right w:w="80" w:type="dxa"/>
            </w:tcMar>
            <w:vAlign w:val="center"/>
            <w:hideMark/>
          </w:tcPr>
          <w:p w:rsidR="00332909" w:rsidRDefault="00332909">
            <w:pPr>
              <w:spacing w:after="0" w:line="276" w:lineRule="auto"/>
              <w:ind w:left="-401" w:hanging="567"/>
              <w:rPr>
                <w:sz w:val="22"/>
                <w:szCs w:val="22"/>
                <w:bdr w:val="none" w:sz="0" w:space="0" w:color="auto" w:frame="1"/>
                <w:lang w:eastAsia="sk-SK"/>
              </w:rPr>
            </w:pPr>
            <w:r>
              <w:rPr>
                <w:b/>
                <w:bCs/>
                <w:bdr w:val="none" w:sz="0" w:space="0" w:color="auto" w:frame="1"/>
                <w:lang w:eastAsia="sk-SK"/>
              </w:rPr>
              <w:t xml:space="preserve">B. Rozvoj regionálnej ekonomiky a inovácií </w:t>
            </w:r>
          </w:p>
        </w:tc>
      </w:tr>
      <w:tr w:rsidR="00332909" w:rsidTr="00332909">
        <w:trPr>
          <w:jc w:val="cent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Opatrenie</w:t>
            </w: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B1.</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spacing w:after="0" w:line="276" w:lineRule="auto"/>
              <w:ind w:left="2"/>
              <w:rPr>
                <w:sz w:val="22"/>
                <w:szCs w:val="22"/>
                <w:bdr w:val="none" w:sz="0" w:space="0" w:color="auto" w:frame="1"/>
                <w:lang w:eastAsia="sk-SK"/>
              </w:rPr>
            </w:pPr>
            <w:r>
              <w:rPr>
                <w:bdr w:val="none" w:sz="0" w:space="0" w:color="auto" w:frame="1"/>
                <w:lang w:eastAsia="sk-SK"/>
              </w:rPr>
              <w:t>Podpora konkurencieschopnosti malých a stredných podnikov so zameraním na tvorbu a udržanie pracovných miest alebo s cieľom zabezpečiť udržateľný rast podniku a inovatívny prístup</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B2.</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oživenia poľnohospodárstva a lesníctva</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B3.</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cestovného ruchu v okrese Bardejov</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1247" w:type="dxa"/>
              <w:bottom w:w="80" w:type="dxa"/>
              <w:right w:w="80" w:type="dxa"/>
            </w:tcMar>
            <w:vAlign w:val="center"/>
            <w:hideMark/>
          </w:tcPr>
          <w:p w:rsidR="00332909" w:rsidRDefault="00332909">
            <w:pPr>
              <w:spacing w:after="0" w:line="276" w:lineRule="auto"/>
              <w:ind w:left="-401" w:hanging="567"/>
              <w:rPr>
                <w:sz w:val="22"/>
                <w:szCs w:val="22"/>
                <w:bdr w:val="none" w:sz="0" w:space="0" w:color="auto" w:frame="1"/>
                <w:lang w:eastAsia="sk-SK"/>
              </w:rPr>
            </w:pPr>
            <w:r>
              <w:rPr>
                <w:b/>
                <w:bCs/>
                <w:bdr w:val="none" w:sz="0" w:space="0" w:color="auto" w:frame="1"/>
                <w:lang w:eastAsia="sk-SK"/>
              </w:rPr>
              <w:t>C. Vzdelávanie a adaptácia pracovnej sily pre potreby trhu</w:t>
            </w:r>
          </w:p>
        </w:tc>
      </w:tr>
      <w:tr w:rsidR="00332909" w:rsidTr="00332909">
        <w:trPr>
          <w:jc w:val="cent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Opatrenie</w:t>
            </w: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C1.</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predprimárneho a primárneho vzdelávania</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C2.</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E3E60">
            <w:pPr>
              <w:spacing w:after="0" w:line="276" w:lineRule="auto"/>
              <w:rPr>
                <w:sz w:val="22"/>
                <w:szCs w:val="22"/>
                <w:bdr w:val="none" w:sz="0" w:space="0" w:color="auto" w:frame="1"/>
                <w:lang w:eastAsia="sk-SK"/>
              </w:rPr>
            </w:pPr>
            <w:r w:rsidRPr="003E3E60">
              <w:rPr>
                <w:bdr w:val="none" w:sz="0" w:space="0" w:color="auto" w:frame="1"/>
                <w:lang w:eastAsia="sk-SK"/>
              </w:rPr>
              <w:t>Podpora stredoškolských centier prípravy a adaptácie na budúce povolanie, vytvorenie podmienok pre adaptáciu pracovnej sily podľa požiadaviek na trhu práce</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C3.</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sociálnej ekonomiky a lokálnej zamestnanosti pre adaptáciu nízko kvalifikovanej pracovnej sily</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1247" w:type="dxa"/>
              <w:bottom w:w="80" w:type="dxa"/>
              <w:right w:w="80" w:type="dxa"/>
            </w:tcMar>
            <w:vAlign w:val="center"/>
            <w:hideMark/>
          </w:tcPr>
          <w:p w:rsidR="00332909" w:rsidRDefault="00332909">
            <w:pPr>
              <w:spacing w:after="0" w:line="276" w:lineRule="auto"/>
              <w:ind w:left="-259" w:hanging="702"/>
              <w:rPr>
                <w:sz w:val="22"/>
                <w:szCs w:val="22"/>
                <w:bdr w:val="none" w:sz="0" w:space="0" w:color="auto" w:frame="1"/>
                <w:lang w:eastAsia="sk-SK"/>
              </w:rPr>
            </w:pPr>
            <w:r>
              <w:rPr>
                <w:b/>
                <w:bCs/>
                <w:bdr w:val="none" w:sz="0" w:space="0" w:color="auto" w:frame="1"/>
                <w:lang w:eastAsia="sk-SK"/>
              </w:rPr>
              <w:t>D. Budovanie infraštruktúry, zvýšenie kvality a dostupnosti služieb</w:t>
            </w:r>
          </w:p>
        </w:tc>
      </w:tr>
      <w:tr w:rsidR="00332909" w:rsidTr="00332909">
        <w:trPr>
          <w:jc w:val="cent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Opatrenie</w:t>
            </w: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D1.</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Dopravná infraštruktúra okresu</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D2.</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rFonts w:eastAsia="Times New Roman"/>
                <w:bCs/>
                <w:bdr w:val="none" w:sz="0" w:space="0" w:color="auto" w:frame="1"/>
                <w:lang w:eastAsia="sk-SK"/>
              </w:rPr>
              <w:t>Podpora nájomného bývania, príprava územia pre bytovú výstavbu a podpora výstavby nájomných bytov nižšieho štandardu</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D3.</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budovania integrovaných zdravotníckych a sociálnych zariadení</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D4.</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kultúrno-spoločenskej a športovej infraštruktúry okresu</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1247" w:type="dxa"/>
              <w:bottom w:w="80" w:type="dxa"/>
              <w:right w:w="80" w:type="dxa"/>
            </w:tcMar>
            <w:vAlign w:val="center"/>
            <w:hideMark/>
          </w:tcPr>
          <w:p w:rsidR="00332909" w:rsidRDefault="00332909">
            <w:pPr>
              <w:spacing w:after="0" w:line="276" w:lineRule="auto"/>
              <w:ind w:left="-401" w:hanging="567"/>
              <w:rPr>
                <w:sz w:val="22"/>
                <w:szCs w:val="22"/>
                <w:bdr w:val="none" w:sz="0" w:space="0" w:color="auto" w:frame="1"/>
                <w:lang w:eastAsia="sk-SK"/>
              </w:rPr>
            </w:pPr>
            <w:r>
              <w:rPr>
                <w:b/>
                <w:bCs/>
                <w:bdr w:val="none" w:sz="0" w:space="0" w:color="auto" w:frame="1"/>
                <w:lang w:eastAsia="sk-SK"/>
              </w:rPr>
              <w:t xml:space="preserve">E. Starostlivosť o životné prostredie </w:t>
            </w:r>
          </w:p>
        </w:tc>
      </w:tr>
      <w:tr w:rsidR="00332909" w:rsidTr="00332909">
        <w:trPr>
          <w:jc w:val="cent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Opatrenie</w:t>
            </w: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E1.</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rFonts w:eastAsia="Times New Roman"/>
                <w:bdr w:val="none" w:sz="0" w:space="0" w:color="auto" w:frame="1"/>
                <w:lang w:eastAsia="sk-SK"/>
              </w:rPr>
              <w:t>Zníženie energetickej náročnosti</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E2.</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rFonts w:eastAsia="Times New Roman"/>
                <w:bdr w:val="none" w:sz="0" w:space="0" w:color="auto" w:frame="1"/>
                <w:lang w:eastAsia="sk-SK"/>
              </w:rPr>
              <w:t>Výstavba vodárenskej infraštruktúry</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E3.</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rFonts w:eastAsia="Times New Roman"/>
                <w:sz w:val="22"/>
                <w:szCs w:val="22"/>
                <w:bdr w:val="none" w:sz="0" w:space="0" w:color="auto" w:frame="1"/>
                <w:lang w:eastAsia="sk-SK"/>
              </w:rPr>
            </w:pPr>
            <w:r>
              <w:rPr>
                <w:rFonts w:eastAsia="Times New Roman"/>
                <w:bdr w:val="none" w:sz="0" w:space="0" w:color="auto" w:frame="1"/>
                <w:lang w:eastAsia="sk-SK"/>
              </w:rPr>
              <w:t>Podpora triedenia a zhodnocovania odpadov</w:t>
            </w:r>
          </w:p>
        </w:tc>
      </w:tr>
      <w:tr w:rsidR="00332909" w:rsidTr="00332909">
        <w:trPr>
          <w:jc w:val="center"/>
        </w:trPr>
        <w:tc>
          <w:tcPr>
            <w:tcW w:w="8885"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332909" w:rsidRDefault="00332909">
            <w:pPr>
              <w:spacing w:after="0"/>
              <w:jc w:val="left"/>
              <w:rPr>
                <w:sz w:val="22"/>
                <w:szCs w:val="22"/>
                <w:bdr w:val="none" w:sz="0" w:space="0" w:color="auto" w:frame="1"/>
                <w:lang w:eastAsia="sk-SK"/>
              </w:rPr>
            </w:pPr>
          </w:p>
        </w:tc>
        <w:tc>
          <w:tcPr>
            <w:tcW w:w="570"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hideMark/>
          </w:tcPr>
          <w:p w:rsidR="00332909" w:rsidRDefault="00332909">
            <w:pPr>
              <w:spacing w:after="0" w:line="276" w:lineRule="auto"/>
              <w:jc w:val="center"/>
              <w:rPr>
                <w:sz w:val="22"/>
                <w:szCs w:val="22"/>
                <w:bdr w:val="none" w:sz="0" w:space="0" w:color="auto" w:frame="1"/>
                <w:lang w:eastAsia="sk-SK"/>
              </w:rPr>
            </w:pPr>
            <w:r>
              <w:rPr>
                <w:bdr w:val="none" w:sz="0" w:space="0" w:color="auto" w:frame="1"/>
                <w:lang w:eastAsia="sk-SK"/>
              </w:rPr>
              <w:t>E4.</w:t>
            </w:r>
          </w:p>
        </w:tc>
        <w:tc>
          <w:tcPr>
            <w:tcW w:w="7152"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vAlign w:val="center"/>
            <w:hideMark/>
          </w:tcPr>
          <w:p w:rsidR="00332909" w:rsidRDefault="00332909">
            <w:pPr>
              <w:spacing w:after="0" w:line="276" w:lineRule="auto"/>
              <w:rPr>
                <w:sz w:val="22"/>
                <w:szCs w:val="22"/>
                <w:bdr w:val="none" w:sz="0" w:space="0" w:color="auto" w:frame="1"/>
                <w:lang w:eastAsia="sk-SK"/>
              </w:rPr>
            </w:pPr>
            <w:r>
              <w:rPr>
                <w:bdr w:val="none" w:sz="0" w:space="0" w:color="auto" w:frame="1"/>
                <w:lang w:eastAsia="sk-SK"/>
              </w:rPr>
              <w:t>Podpora protipovodňových a stabilizačných opatrení</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BFBFBF"/>
            <w:tcMar>
              <w:top w:w="80" w:type="dxa"/>
              <w:left w:w="1247" w:type="dxa"/>
              <w:bottom w:w="80" w:type="dxa"/>
              <w:right w:w="80" w:type="dxa"/>
            </w:tcMar>
            <w:vAlign w:val="center"/>
            <w:hideMark/>
          </w:tcPr>
          <w:p w:rsidR="00332909" w:rsidRDefault="00332909">
            <w:pPr>
              <w:spacing w:after="0" w:line="276" w:lineRule="auto"/>
              <w:ind w:hanging="567"/>
              <w:rPr>
                <w:sz w:val="22"/>
                <w:szCs w:val="22"/>
                <w:bdr w:val="none" w:sz="0" w:space="0" w:color="auto" w:frame="1"/>
                <w:lang w:eastAsia="sk-SK"/>
              </w:rPr>
            </w:pPr>
            <w:r>
              <w:rPr>
                <w:b/>
                <w:bCs/>
                <w:bdr w:val="none" w:sz="0" w:space="0" w:color="auto" w:frame="1"/>
                <w:lang w:eastAsia="sk-SK"/>
              </w:rPr>
              <w:t>F. SYSTÉMOVÉ OPATRENIA NA ÚROVNI PSK</w:t>
            </w:r>
          </w:p>
        </w:tc>
      </w:tr>
      <w:tr w:rsidR="00332909" w:rsidTr="00332909">
        <w:trPr>
          <w:jc w:val="center"/>
        </w:trPr>
        <w:tc>
          <w:tcPr>
            <w:tcW w:w="8885" w:type="dxa"/>
            <w:gridSpan w:val="3"/>
            <w:tcBorders>
              <w:top w:val="single" w:sz="4" w:space="0" w:color="000000"/>
              <w:left w:val="single" w:sz="4" w:space="0" w:color="000000"/>
              <w:bottom w:val="single" w:sz="4" w:space="0" w:color="000000"/>
              <w:right w:val="single" w:sz="4" w:space="0" w:color="000000"/>
            </w:tcBorders>
            <w:shd w:val="clear" w:color="auto" w:fill="BFBFBF"/>
            <w:tcMar>
              <w:top w:w="80" w:type="dxa"/>
              <w:left w:w="1247" w:type="dxa"/>
              <w:bottom w:w="80" w:type="dxa"/>
              <w:right w:w="80" w:type="dxa"/>
            </w:tcMar>
            <w:vAlign w:val="center"/>
            <w:hideMark/>
          </w:tcPr>
          <w:p w:rsidR="00332909" w:rsidRDefault="00332909">
            <w:pPr>
              <w:spacing w:after="0" w:line="276" w:lineRule="auto"/>
              <w:ind w:hanging="567"/>
              <w:rPr>
                <w:sz w:val="22"/>
                <w:szCs w:val="22"/>
                <w:bdr w:val="none" w:sz="0" w:space="0" w:color="auto" w:frame="1"/>
                <w:lang w:eastAsia="sk-SK"/>
              </w:rPr>
            </w:pPr>
            <w:r>
              <w:rPr>
                <w:b/>
                <w:bCs/>
                <w:bdr w:val="none" w:sz="0" w:space="0" w:color="auto" w:frame="1"/>
                <w:lang w:eastAsia="sk-SK"/>
              </w:rPr>
              <w:t>G. SYSTÉMOVÉ OPATRENIA NA ÚROVNI ŠTÁTU</w:t>
            </w:r>
          </w:p>
        </w:tc>
      </w:tr>
      <w:bookmarkEnd w:id="38"/>
    </w:tbl>
    <w:p w:rsidR="00332909" w:rsidRDefault="00332909" w:rsidP="00332909">
      <w:pPr>
        <w:widowControl w:val="0"/>
        <w:ind w:left="113" w:hanging="113"/>
        <w:jc w:val="center"/>
        <w:rPr>
          <w:rFonts w:eastAsia="Times New Roman" w:cs="Times New Roman"/>
        </w:rPr>
      </w:pPr>
    </w:p>
    <w:p w:rsidR="00332909" w:rsidRPr="006D2E6D" w:rsidRDefault="00332909" w:rsidP="00C90BE5">
      <w:pPr>
        <w:pStyle w:val="Nadpis2"/>
        <w:numPr>
          <w:ilvl w:val="0"/>
          <w:numId w:val="13"/>
        </w:numPr>
      </w:pPr>
      <w:bookmarkStart w:id="39" w:name="_Toc511211866"/>
      <w:bookmarkStart w:id="40" w:name="_Toc517084342"/>
      <w:bookmarkStart w:id="41" w:name="_Toc4"/>
      <w:r w:rsidRPr="006D2E6D">
        <w:t>Systémové opatrenia Akčného plánu na úrovni okresu Bardejov</w:t>
      </w:r>
      <w:bookmarkEnd w:id="39"/>
      <w:bookmarkEnd w:id="40"/>
      <w:r w:rsidRPr="006D2E6D">
        <w:t xml:space="preserve"> </w:t>
      </w:r>
      <w:bookmarkEnd w:id="41"/>
    </w:p>
    <w:p w:rsidR="00332909" w:rsidRDefault="00332909" w:rsidP="00332909">
      <w:pPr>
        <w:rPr>
          <w:rFonts w:cs="Times New Roman"/>
        </w:rPr>
      </w:pPr>
      <w:r>
        <w:rPr>
          <w:rFonts w:cs="Times New Roman"/>
        </w:rPr>
        <w:t>Systémové opatrenia na úrovni okresu sú zamerané na vytvorenie kapacít, inštitucionálnych a organizačných rámcov, koordinácie, riadenia a zabezpečenie logistickej a technickej podpory na implementáciu Akčného plánu.</w:t>
      </w:r>
    </w:p>
    <w:p w:rsidR="00332909" w:rsidRDefault="00332909" w:rsidP="00332909">
      <w:pPr>
        <w:rPr>
          <w:rFonts w:eastAsia="Times New Roman" w:cs="Times New Roman"/>
          <w:b/>
        </w:rPr>
      </w:pPr>
      <w:r>
        <w:rPr>
          <w:rFonts w:eastAsia="Times New Roman" w:cs="Times New Roman"/>
          <w:b/>
        </w:rPr>
        <w:t>Popis jednotlivých systémových opatrení a kľúčových aktivít</w:t>
      </w:r>
    </w:p>
    <w:p w:rsidR="00332909" w:rsidRDefault="001A55FA" w:rsidP="00332909">
      <w:pPr>
        <w:pStyle w:val="Nadpis3"/>
        <w:rPr>
          <w:rFonts w:cs="Times New Roman"/>
        </w:rPr>
      </w:pPr>
      <w:bookmarkStart w:id="42" w:name="_Toc517084343"/>
      <w:bookmarkStart w:id="43" w:name="_Toc511211867"/>
      <w:r>
        <w:rPr>
          <w:rFonts w:cs="Times New Roman"/>
        </w:rPr>
        <w:t>Opatrenie A.1. Vytvorenie v</w:t>
      </w:r>
      <w:r w:rsidR="00332909">
        <w:rPr>
          <w:rFonts w:cs="Times New Roman"/>
        </w:rPr>
        <w:t>ýboru</w:t>
      </w:r>
      <w:bookmarkEnd w:id="42"/>
      <w:r w:rsidR="00332909">
        <w:rPr>
          <w:rFonts w:cs="Times New Roman"/>
        </w:rPr>
        <w:t xml:space="preserve"> </w:t>
      </w:r>
      <w:bookmarkEnd w:id="43"/>
    </w:p>
    <w:p w:rsidR="00332909" w:rsidRDefault="00332909" w:rsidP="00332909">
      <w:pPr>
        <w:rPr>
          <w:rFonts w:eastAsia="Times New Roman" w:cs="Times New Roman"/>
        </w:rPr>
      </w:pPr>
      <w:r>
        <w:rPr>
          <w:rFonts w:cs="Times New Roman"/>
        </w:rPr>
        <w:t xml:space="preserve">Popri </w:t>
      </w:r>
      <w:r w:rsidR="001A2B87">
        <w:rPr>
          <w:rFonts w:cs="Times New Roman"/>
        </w:rPr>
        <w:t>rade</w:t>
      </w:r>
      <w:r>
        <w:rPr>
          <w:rFonts w:cs="Times New Roman"/>
        </w:rPr>
        <w:t xml:space="preserve"> vytvorenej </w:t>
      </w:r>
      <w:r w:rsidR="001A2B87">
        <w:rPr>
          <w:rFonts w:cs="Times New Roman"/>
        </w:rPr>
        <w:t xml:space="preserve">v súlade so zákonom </w:t>
      </w:r>
      <w:r>
        <w:rPr>
          <w:rFonts w:cs="Times New Roman"/>
        </w:rPr>
        <w:t>č. 336/2015 Z. z., kľúčovú úlohu pri rea</w:t>
      </w:r>
      <w:r w:rsidR="001A55FA">
        <w:rPr>
          <w:rFonts w:cs="Times New Roman"/>
        </w:rPr>
        <w:t>lizácii Akčného plánu bude mať v</w:t>
      </w:r>
      <w:r>
        <w:rPr>
          <w:rFonts w:cs="Times New Roman"/>
        </w:rPr>
        <w:t>ýbor tvorený sociálno-ekonomickými partnermi, zástupcami kľúčových subjektov rozvoja okresu od predstaviteľov štátnej správy cez samosprávy, podnikateľského sektora, škôl až po občianske iniciatívy a mimovládne organizácie. Výbor vedie medzisektorový partnerský dialóg, monitoruje a navrhuje opatrenia na implementáciu Akčného plánu a zúčastňuje sa tvorby podkladov pre rokovania rady. Výbor vedie prednosta okresného úradu s podporou odborného pracovníka okresného úradu.</w:t>
      </w:r>
    </w:p>
    <w:p w:rsidR="00332909" w:rsidRDefault="00332909" w:rsidP="00332909">
      <w:pPr>
        <w:pStyle w:val="Nadpis3"/>
        <w:rPr>
          <w:rFonts w:cs="Times New Roman"/>
        </w:rPr>
      </w:pPr>
      <w:bookmarkStart w:id="44" w:name="_Toc511211868"/>
      <w:bookmarkStart w:id="45" w:name="_Toc517084344"/>
      <w:r>
        <w:rPr>
          <w:rFonts w:cs="Times New Roman"/>
        </w:rPr>
        <w:t>Opatrenie A.2. Vytvorenie Centra podpory regionálneho rozvoja okresu Bardejov</w:t>
      </w:r>
      <w:bookmarkEnd w:id="44"/>
      <w:bookmarkEnd w:id="45"/>
    </w:p>
    <w:p w:rsidR="00332909" w:rsidRDefault="00332909" w:rsidP="00332909">
      <w:pPr>
        <w:rPr>
          <w:rFonts w:cs="Times New Roman"/>
        </w:rPr>
      </w:pPr>
      <w:r>
        <w:rPr>
          <w:rFonts w:cs="Times New Roman"/>
        </w:rPr>
        <w:t xml:space="preserve">Technickým a administratívnym nástrojom pre implementáciu rozvojových aktivít okresu v rámci Akčného plánu je centrum podpory regionálneho rozvoja okresu Bardejov (ďalej len „Centrum </w:t>
      </w:r>
      <w:r>
        <w:rPr>
          <w:rFonts w:cs="Times New Roman"/>
        </w:rPr>
        <w:lastRenderedPageBreak/>
        <w:t xml:space="preserve">podpory“), plniace funkciu strediska pre prípravu kľúčových aktivít v súlade s opatreniami Akčného plánu. Centrum podpory zabezpečuje aj </w:t>
      </w:r>
      <w:r w:rsidR="001A55FA">
        <w:rPr>
          <w:rFonts w:cs="Times New Roman"/>
        </w:rPr>
        <w:t>mediálnu a komunikačnú podporu v</w:t>
      </w:r>
      <w:r>
        <w:rPr>
          <w:rFonts w:cs="Times New Roman"/>
        </w:rPr>
        <w:t>ýboru</w:t>
      </w:r>
      <w:r w:rsidR="001A55FA">
        <w:rPr>
          <w:rFonts w:cs="Times New Roman"/>
        </w:rPr>
        <w:t>.</w:t>
      </w:r>
    </w:p>
    <w:p w:rsidR="00332909" w:rsidRDefault="00332909" w:rsidP="00332909">
      <w:pPr>
        <w:rPr>
          <w:rFonts w:eastAsia="Times New Roman" w:cs="Times New Roman"/>
          <w:b/>
        </w:rPr>
      </w:pPr>
      <w:r>
        <w:rPr>
          <w:rFonts w:cs="Times New Roman"/>
          <w:b/>
        </w:rPr>
        <w:t>Hlavné činnosti centra podpory:</w:t>
      </w:r>
    </w:p>
    <w:p w:rsidR="00332909" w:rsidRDefault="00332909" w:rsidP="00C90BE5">
      <w:pPr>
        <w:pStyle w:val="Odsekzoznamu"/>
        <w:numPr>
          <w:ilvl w:val="0"/>
          <w:numId w:val="40"/>
        </w:numPr>
        <w:rPr>
          <w:rFonts w:eastAsia="Times New Roman"/>
          <w:bCs/>
        </w:rPr>
      </w:pPr>
      <w:r>
        <w:rPr>
          <w:rFonts w:eastAsia="Times New Roman"/>
          <w:bCs/>
        </w:rPr>
        <w:t>Metodicky usmerňuje a koordinuje predkladateľov individuálnych návrhov ročných priorít a žiadateľov o RP. Do schválenia ročných priorít projekty, ktoré žiadateľ podáva prostredníctvom Centra podpory, zasiela Centrum podpory Sekcii regionálneho rozvoja ÚV SR až po vyplnení Kontrolného zoznamu, ktorý prikladá ku každej žiadosti o RP,</w:t>
      </w:r>
    </w:p>
    <w:p w:rsidR="00332909" w:rsidRDefault="00332909" w:rsidP="00C90BE5">
      <w:pPr>
        <w:pStyle w:val="Odsekzoznamu"/>
        <w:numPr>
          <w:ilvl w:val="0"/>
          <w:numId w:val="40"/>
        </w:numPr>
        <w:rPr>
          <w:rFonts w:eastAsia="Times New Roman"/>
          <w:bCs/>
        </w:rPr>
      </w:pPr>
      <w:r>
        <w:rPr>
          <w:rFonts w:eastAsia="Times New Roman"/>
          <w:bCs/>
        </w:rPr>
        <w:t>Informuje žiadateľov v oblasti zostavovania rozpočtov projektu, podmienok štátnej pomoci, verejného obstarávania a pod.,</w:t>
      </w:r>
    </w:p>
    <w:p w:rsidR="00332909" w:rsidRDefault="00332909" w:rsidP="00C90BE5">
      <w:pPr>
        <w:pStyle w:val="Odsekzoznamu"/>
        <w:numPr>
          <w:ilvl w:val="0"/>
          <w:numId w:val="40"/>
        </w:numPr>
        <w:rPr>
          <w:rFonts w:eastAsia="Times New Roman"/>
          <w:bCs/>
        </w:rPr>
      </w:pPr>
      <w:r>
        <w:rPr>
          <w:rFonts w:eastAsia="Times New Roman"/>
          <w:bCs/>
        </w:rPr>
        <w:t>Metodicky usmerňuje a koordinuje vyúčtovanie žiadostí o RP vždy, keď ich o to prijímateľ RP požiada,</w:t>
      </w:r>
    </w:p>
    <w:p w:rsidR="00332909" w:rsidRDefault="00332909" w:rsidP="00C90BE5">
      <w:pPr>
        <w:pStyle w:val="Odsekzoznamu"/>
        <w:numPr>
          <w:ilvl w:val="0"/>
          <w:numId w:val="40"/>
        </w:numPr>
        <w:rPr>
          <w:rFonts w:eastAsia="Times New Roman"/>
          <w:bCs/>
        </w:rPr>
      </w:pPr>
      <w:r>
        <w:rPr>
          <w:rFonts w:eastAsia="Times New Roman"/>
          <w:bCs/>
        </w:rPr>
        <w:t>Vedie prehľad o prijatých individuálnych návrhov ročných priorít,  podaných žiadostiach o</w:t>
      </w:r>
      <w:r w:rsidR="001A2B87">
        <w:rPr>
          <w:rFonts w:eastAsia="Times New Roman"/>
          <w:bCs/>
        </w:rPr>
        <w:t> </w:t>
      </w:r>
      <w:r>
        <w:rPr>
          <w:rFonts w:eastAsia="Times New Roman"/>
          <w:bCs/>
        </w:rPr>
        <w:t>RP</w:t>
      </w:r>
      <w:r w:rsidR="001A2B87">
        <w:rPr>
          <w:rFonts w:eastAsia="Times New Roman"/>
          <w:bCs/>
        </w:rPr>
        <w:t xml:space="preserve"> </w:t>
      </w:r>
      <w:r>
        <w:rPr>
          <w:rFonts w:eastAsia="Times New Roman"/>
          <w:bCs/>
        </w:rPr>
        <w:t>a stave žiadostí o RP (zazmluvnenie, PMÚ, OKVO, výzva na doplnenie a pod.) – túto informáciu zdieľajú so SRR a OÚ,</w:t>
      </w:r>
    </w:p>
    <w:p w:rsidR="00332909" w:rsidRDefault="00332909" w:rsidP="00C90BE5">
      <w:pPr>
        <w:pStyle w:val="Odsekzoznamu"/>
        <w:numPr>
          <w:ilvl w:val="0"/>
          <w:numId w:val="40"/>
        </w:numPr>
        <w:rPr>
          <w:rFonts w:eastAsia="Times New Roman"/>
          <w:bCs/>
        </w:rPr>
      </w:pPr>
      <w:r>
        <w:rPr>
          <w:rFonts w:eastAsia="Times New Roman"/>
          <w:bCs/>
        </w:rPr>
        <w:t>V spolupráci s Informačno-poradenskými centrami na príslušných VÚC sleduje vyhlásené výzvy EŠIF a metodicky usmerňuje a koordinuje žiadateľov,</w:t>
      </w:r>
    </w:p>
    <w:p w:rsidR="00332909" w:rsidRDefault="00332909" w:rsidP="00C90BE5">
      <w:pPr>
        <w:pStyle w:val="Odsekzoznamu"/>
        <w:numPr>
          <w:ilvl w:val="0"/>
          <w:numId w:val="40"/>
        </w:numPr>
        <w:rPr>
          <w:rFonts w:eastAsia="Times New Roman"/>
          <w:bCs/>
        </w:rPr>
      </w:pPr>
      <w:r>
        <w:rPr>
          <w:rFonts w:eastAsia="Times New Roman"/>
          <w:bCs/>
        </w:rPr>
        <w:t>Sleduje vyhlásené dotačné a grantové schémy jednotlivých rezortov a informuje verejnosť v okrese,</w:t>
      </w:r>
    </w:p>
    <w:p w:rsidR="00332909" w:rsidRDefault="00332909" w:rsidP="00C90BE5">
      <w:pPr>
        <w:pStyle w:val="Odsekzoznamu"/>
        <w:numPr>
          <w:ilvl w:val="0"/>
          <w:numId w:val="40"/>
        </w:numPr>
        <w:rPr>
          <w:rFonts w:eastAsia="Times New Roman"/>
          <w:bCs/>
        </w:rPr>
      </w:pPr>
      <w:r>
        <w:rPr>
          <w:rFonts w:eastAsia="Times New Roman"/>
          <w:bCs/>
        </w:rPr>
        <w:t>Informuje OÚ o všetkých projektoch mimo žiadostí o RP, ktoré metodicky alebo koordinačne podporilo,</w:t>
      </w:r>
    </w:p>
    <w:p w:rsidR="00332909" w:rsidRDefault="00D83386" w:rsidP="00C90BE5">
      <w:pPr>
        <w:pStyle w:val="Odsekzoznamu"/>
        <w:numPr>
          <w:ilvl w:val="0"/>
          <w:numId w:val="40"/>
        </w:numPr>
        <w:rPr>
          <w:rFonts w:eastAsia="Times New Roman"/>
          <w:bCs/>
        </w:rPr>
      </w:pPr>
      <w:r>
        <w:rPr>
          <w:rFonts w:eastAsia="Times New Roman"/>
          <w:bCs/>
        </w:rPr>
        <w:t xml:space="preserve"> </w:t>
      </w:r>
      <w:r w:rsidR="00332909">
        <w:rPr>
          <w:rFonts w:eastAsia="Times New Roman"/>
          <w:bCs/>
        </w:rPr>
        <w:t>Plní úlohu sekretariátu výboru - poskytuje predsedovi výboru (prednosta OÚ) maximálnu súčinnosť pri realizácií akčných plánov:</w:t>
      </w:r>
    </w:p>
    <w:p w:rsidR="00332909" w:rsidRDefault="00332909" w:rsidP="00C90BE5">
      <w:pPr>
        <w:pStyle w:val="Odsekzoznamu"/>
        <w:numPr>
          <w:ilvl w:val="0"/>
          <w:numId w:val="14"/>
        </w:numPr>
        <w:rPr>
          <w:rFonts w:eastAsia="Times New Roman"/>
          <w:bCs/>
        </w:rPr>
      </w:pPr>
      <w:r>
        <w:rPr>
          <w:rFonts w:eastAsia="Times New Roman"/>
          <w:bCs/>
        </w:rPr>
        <w:t>zodpovedá za funkčnosť výboru (doplnenie chýbajúcich členov, nahlásenie prípadnej zmeny člena a pod.),</w:t>
      </w:r>
    </w:p>
    <w:p w:rsidR="00332909" w:rsidRDefault="00332909" w:rsidP="00C90BE5">
      <w:pPr>
        <w:pStyle w:val="Odsekzoznamu"/>
        <w:numPr>
          <w:ilvl w:val="0"/>
          <w:numId w:val="14"/>
        </w:numPr>
        <w:rPr>
          <w:rFonts w:eastAsia="Times New Roman"/>
          <w:bCs/>
        </w:rPr>
      </w:pPr>
      <w:r>
        <w:rPr>
          <w:rFonts w:eastAsia="Times New Roman"/>
          <w:bCs/>
        </w:rPr>
        <w:t>informuje predsedu výboru o všetkých skutočnostiach, ktoré sú relevantné pre rozhodovanie výboru,</w:t>
      </w:r>
    </w:p>
    <w:p w:rsidR="00332909" w:rsidRDefault="00332909" w:rsidP="00C90BE5">
      <w:pPr>
        <w:pStyle w:val="Odsekzoznamu"/>
        <w:numPr>
          <w:ilvl w:val="0"/>
          <w:numId w:val="14"/>
        </w:numPr>
        <w:rPr>
          <w:rFonts w:eastAsia="Times New Roman"/>
          <w:bCs/>
        </w:rPr>
      </w:pPr>
      <w:r>
        <w:rPr>
          <w:rFonts w:eastAsia="Times New Roman"/>
          <w:bCs/>
        </w:rPr>
        <w:t>zvoláva zasadnutia výboru ak o to požiada predseda alebo členovia výboru,</w:t>
      </w:r>
    </w:p>
    <w:p w:rsidR="00332909" w:rsidRDefault="00332909" w:rsidP="00C90BE5">
      <w:pPr>
        <w:pStyle w:val="Odsekzoznamu"/>
        <w:numPr>
          <w:ilvl w:val="0"/>
          <w:numId w:val="14"/>
        </w:numPr>
        <w:rPr>
          <w:rFonts w:eastAsia="Times New Roman"/>
          <w:bCs/>
        </w:rPr>
      </w:pPr>
      <w:r>
        <w:rPr>
          <w:rFonts w:eastAsia="Times New Roman"/>
          <w:bCs/>
        </w:rPr>
        <w:t>pripravuje podklady pre zasadnutia výboru v spolupráci s OÚ,</w:t>
      </w:r>
    </w:p>
    <w:p w:rsidR="00332909" w:rsidRDefault="00332909" w:rsidP="00C90BE5">
      <w:pPr>
        <w:pStyle w:val="Odsekzoznamu"/>
        <w:numPr>
          <w:ilvl w:val="0"/>
          <w:numId w:val="14"/>
        </w:numPr>
        <w:spacing w:before="120"/>
        <w:ind w:left="1423" w:hanging="357"/>
        <w:rPr>
          <w:rFonts w:eastAsia="Times New Roman"/>
          <w:bCs/>
        </w:rPr>
      </w:pPr>
      <w:r>
        <w:rPr>
          <w:rFonts w:eastAsia="Times New Roman"/>
          <w:bCs/>
        </w:rPr>
        <w:t>pripravuje zápisnicu zo zasadnutia výboru.</w:t>
      </w:r>
    </w:p>
    <w:p w:rsidR="00332909" w:rsidRPr="00D83386" w:rsidRDefault="00332909" w:rsidP="00C90BE5">
      <w:pPr>
        <w:pStyle w:val="Odsekzoznamu"/>
        <w:numPr>
          <w:ilvl w:val="0"/>
          <w:numId w:val="40"/>
        </w:numPr>
        <w:spacing w:before="120"/>
        <w:rPr>
          <w:rFonts w:eastAsia="Times New Roman"/>
          <w:bCs/>
        </w:rPr>
      </w:pPr>
      <w:r w:rsidRPr="00D83386">
        <w:rPr>
          <w:rFonts w:eastAsia="Times New Roman"/>
          <w:bCs/>
        </w:rPr>
        <w:t>Pripravuje podklady pre monitorovanie a hodnotenie plnenia AP.</w:t>
      </w:r>
    </w:p>
    <w:p w:rsidR="00332909" w:rsidRPr="00D83386" w:rsidRDefault="00332909" w:rsidP="00D83386">
      <w:pPr>
        <w:spacing w:after="240"/>
        <w:rPr>
          <w:rFonts w:eastAsia="Times New Roman"/>
          <w:bCs/>
        </w:rPr>
      </w:pPr>
      <w:r w:rsidRPr="00D83386">
        <w:rPr>
          <w:rFonts w:eastAsia="Times New Roman"/>
          <w:bCs/>
        </w:rPr>
        <w:t>Predpokladaný počet subjektov, ktorým bude poskytnutá metodická a koordinačná podpora pri spracovaní návrh</w:t>
      </w:r>
      <w:r w:rsidR="00D83386">
        <w:rPr>
          <w:rFonts w:eastAsia="Times New Roman"/>
          <w:bCs/>
        </w:rPr>
        <w:t>u bude cca. 200 subjektov ročne.</w:t>
      </w:r>
    </w:p>
    <w:tbl>
      <w:tblPr>
        <w:tblStyle w:val="TableNormal"/>
        <w:tblW w:w="889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970"/>
        <w:gridCol w:w="4925"/>
      </w:tblGrid>
      <w:tr w:rsidR="00332909" w:rsidTr="00D83386">
        <w:trPr>
          <w:trHeight w:val="182"/>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highlight w:val="yellow"/>
              </w:rPr>
            </w:pPr>
            <w:r>
              <w:rPr>
                <w:rFonts w:ascii="Times New Roman" w:hAnsi="Times New Roman" w:cs="Times New Roman"/>
                <w:color w:val="auto"/>
              </w:rPr>
              <w:t>RP</w:t>
            </w:r>
          </w:p>
        </w:tc>
      </w:tr>
      <w:tr w:rsidR="00332909" w:rsidTr="00D83386">
        <w:trPr>
          <w:trHeight w:val="81"/>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highlight w:val="yellow"/>
              </w:rPr>
            </w:pPr>
            <w:r>
              <w:rPr>
                <w:rFonts w:ascii="Times New Roman" w:hAnsi="Times New Roman" w:cs="Times New Roman"/>
                <w:color w:val="auto"/>
              </w:rPr>
              <w:t>510 tis. eur</w:t>
            </w:r>
          </w:p>
        </w:tc>
      </w:tr>
      <w:tr w:rsidR="00332909" w:rsidTr="00D83386">
        <w:trPr>
          <w:trHeight w:val="81"/>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color w:val="auto"/>
              </w:rPr>
              <w:t>510 tis. eur</w:t>
            </w:r>
          </w:p>
        </w:tc>
      </w:tr>
      <w:tr w:rsidR="00332909" w:rsidTr="00D83386">
        <w:trPr>
          <w:trHeight w:val="81"/>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B15B6">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Z toho orientačne</w:t>
            </w:r>
            <w:r w:rsidR="00DB5883">
              <w:rPr>
                <w:rFonts w:ascii="Times New Roman" w:hAnsi="Times New Roman" w:cs="Times New Roman"/>
                <w:b/>
                <w:bCs/>
                <w:color w:val="auto"/>
              </w:rPr>
              <w:t xml:space="preserve"> programy spolufinancované z</w:t>
            </w:r>
            <w:r>
              <w:rPr>
                <w:rFonts w:ascii="Times New Roman" w:hAnsi="Times New Roman" w:cs="Times New Roman"/>
                <w:b/>
                <w:bCs/>
                <w:color w:val="auto"/>
              </w:rPr>
              <w:t xml:space="preserve"> EŠIF:</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color w:val="auto"/>
              </w:rPr>
              <w:t>-</w:t>
            </w:r>
          </w:p>
        </w:tc>
      </w:tr>
      <w:tr w:rsidR="00332909" w:rsidTr="00D83386">
        <w:trPr>
          <w:trHeight w:val="133"/>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4</w:t>
            </w:r>
          </w:p>
        </w:tc>
      </w:tr>
      <w:tr w:rsidR="00332909" w:rsidTr="00D83386">
        <w:trPr>
          <w:trHeight w:val="175"/>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 obce, mesto Bardejov, PSK</w:t>
            </w:r>
          </w:p>
        </w:tc>
      </w:tr>
      <w:tr w:rsidR="00332909" w:rsidTr="00D83386">
        <w:trPr>
          <w:trHeight w:val="81"/>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Partneri:</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MAS Horná Topľa, o.z., MAS SEKČOV – TOPĽA, o.z.,</w:t>
            </w:r>
            <w:r>
              <w:rPr>
                <w:rFonts w:ascii="Times New Roman" w:hAnsi="Times New Roman" w:cs="Times New Roman"/>
                <w:b/>
                <w:color w:val="auto"/>
              </w:rPr>
              <w:t xml:space="preserve"> </w:t>
            </w:r>
            <w:r>
              <w:rPr>
                <w:rFonts w:ascii="Times New Roman" w:hAnsi="Times New Roman" w:cs="Times New Roman"/>
                <w:color w:val="auto"/>
              </w:rPr>
              <w:t>OOCR Šariš - Bardejov, RRA</w:t>
            </w:r>
          </w:p>
        </w:tc>
      </w:tr>
      <w:tr w:rsidR="00332909" w:rsidTr="00D83386">
        <w:trPr>
          <w:trHeight w:val="81"/>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D83386">
        <w:trPr>
          <w:trHeight w:val="476"/>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lastRenderedPageBreak/>
              <w:t>Účel RP:</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výdavky spojené so zabezpečením aktivít, prevádzkou a vybavením Centra podpory regionálneho rozvoja okresu </w:t>
            </w:r>
          </w:p>
        </w:tc>
      </w:tr>
      <w:tr w:rsidR="00332909" w:rsidTr="00D83386">
        <w:trPr>
          <w:trHeight w:val="81"/>
        </w:trPr>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Prijímateľ RP:</w:t>
            </w:r>
          </w:p>
        </w:tc>
        <w:tc>
          <w:tcPr>
            <w:tcW w:w="49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centrum podpory regionálneho rozvoja okresu Bardejov</w:t>
            </w:r>
          </w:p>
        </w:tc>
      </w:tr>
    </w:tbl>
    <w:p w:rsidR="00332909" w:rsidRPr="006D2E6D" w:rsidRDefault="00332909" w:rsidP="006D2E6D">
      <w:pPr>
        <w:pStyle w:val="Nadpis2"/>
      </w:pPr>
      <w:bookmarkStart w:id="46" w:name="_Toc511211869"/>
      <w:bookmarkStart w:id="47" w:name="_Toc517084345"/>
      <w:r w:rsidRPr="006D2E6D">
        <w:t xml:space="preserve">B. </w:t>
      </w:r>
      <w:r w:rsidRPr="006D2E6D">
        <w:tab/>
        <w:t>Prioritná oblasť – rozvoj regionálnej ekonomiky a inovácii</w:t>
      </w:r>
      <w:bookmarkEnd w:id="46"/>
      <w:bookmarkEnd w:id="47"/>
    </w:p>
    <w:p w:rsidR="00332909" w:rsidRDefault="00332909" w:rsidP="00332909">
      <w:pPr>
        <w:rPr>
          <w:rFonts w:eastAsia="Times New Roman" w:cs="Times New Roman"/>
        </w:rPr>
      </w:pPr>
      <w:r>
        <w:rPr>
          <w:rFonts w:cs="Times New Roman"/>
        </w:rPr>
        <w:t>Prioritná oblasť je zameraná na zvýšenie ekonomickej výkonnosti okresu Bardejov a vytváranie pracovných príležitostí s uplatnením nových technológii a inovatívnych projektov, transferom know-how, osobitne v oblasti MSP, rozšírením už existujúcej výroby, alebo podporou vzniku nových subjektov, vrátane podpory poľnohospodárstva, lesného hospodárstva a drevovýroby s dôrazom na</w:t>
      </w:r>
      <w:r>
        <w:rPr>
          <w:rFonts w:eastAsia="Arial Unicode MS" w:cs="Times New Roman"/>
          <w:bdr w:val="none" w:sz="0" w:space="0" w:color="auto" w:frame="1"/>
          <w:lang w:eastAsia="sk-SK"/>
        </w:rPr>
        <w:t> </w:t>
      </w:r>
      <w:r>
        <w:rPr>
          <w:rFonts w:cs="Times New Roman"/>
        </w:rPr>
        <w:t xml:space="preserve">vyššiu pridanú hodnotu a vytváranie pracovných príležitostí, vrátane zamestnávania marginalizovaných skupín. Prioritná oblasť rieši aj </w:t>
      </w:r>
      <w:r>
        <w:rPr>
          <w:rFonts w:cs="Times New Roman"/>
          <w:bCs/>
        </w:rPr>
        <w:t>rozvoj cestovného ruchu ako nástroja ekonomického rozvoja okresu, najmä vybudovaním infraštruktúry cestovného ruchu, regionálnej značky, tvorbou produktov a služieb cestovného ruchu, ktoré povedú k zvyšovaniu návštevnosti regiónu.</w:t>
      </w:r>
      <w:r>
        <w:rPr>
          <w:rFonts w:cs="Times New Roman"/>
        </w:rPr>
        <w:t xml:space="preserve"> </w:t>
      </w:r>
    </w:p>
    <w:p w:rsidR="00332909" w:rsidRDefault="00332909" w:rsidP="00332909">
      <w:pPr>
        <w:spacing w:before="240" w:after="0"/>
        <w:rPr>
          <w:rFonts w:eastAsia="Times New Roman" w:cs="Times New Roman"/>
          <w:b/>
        </w:rPr>
      </w:pPr>
      <w:r>
        <w:rPr>
          <w:rFonts w:eastAsia="Times New Roman" w:cs="Times New Roman"/>
          <w:b/>
        </w:rPr>
        <w:t xml:space="preserve">Popis jednotlivých systémových opatrení a kľúčových aktivít </w:t>
      </w:r>
    </w:p>
    <w:p w:rsidR="00332909" w:rsidRDefault="00332909" w:rsidP="00D83386">
      <w:pPr>
        <w:pStyle w:val="Nadpis3"/>
        <w:rPr>
          <w:rFonts w:eastAsia="Times New Roman" w:cs="Times New Roman"/>
        </w:rPr>
      </w:pPr>
      <w:bookmarkStart w:id="48" w:name="_Toc511211870"/>
      <w:bookmarkStart w:id="49" w:name="_Toc517084346"/>
      <w:r>
        <w:rPr>
          <w:rFonts w:eastAsia="Times New Roman" w:cs="Times New Roman"/>
        </w:rPr>
        <w:t>Opatrenie B.1. Podpora konkurencieschopnosti malých a stredných podnikov so zameraním na tvorbu a udržanie pracovných miest alebo s cieľom zabezpečiť udržateľný rast podniku a inovatívny prístup</w:t>
      </w:r>
      <w:bookmarkEnd w:id="48"/>
      <w:bookmarkEnd w:id="49"/>
    </w:p>
    <w:p w:rsidR="00332909" w:rsidRDefault="00332909" w:rsidP="00332909">
      <w:pPr>
        <w:rPr>
          <w:rFonts w:cs="Times New Roman"/>
        </w:rPr>
      </w:pPr>
      <w:r>
        <w:rPr>
          <w:rFonts w:eastAsia="Arial Unicode MS" w:cs="Times New Roman"/>
          <w:bdr w:val="none" w:sz="0" w:space="0" w:color="auto" w:frame="1"/>
          <w:lang w:eastAsia="sk-SK"/>
        </w:rPr>
        <w:t>Opatrenie je zamerané na zabezpečenie udržateľného ekonomického rastu najmä malých a stredných podnikov okresu. Aktivity sú zamerané na zavádzanie inovácií do technológií,</w:t>
      </w:r>
      <w:r>
        <w:rPr>
          <w:rFonts w:cs="Times New Roman"/>
          <w:i/>
          <w:iCs/>
        </w:rPr>
        <w:t xml:space="preserve"> </w:t>
      </w:r>
      <w:r>
        <w:rPr>
          <w:rFonts w:eastAsia="Arial Unicode MS" w:cs="Times New Roman"/>
          <w:bdr w:val="none" w:sz="0" w:space="0" w:color="auto" w:frame="1"/>
          <w:lang w:eastAsia="sk-SK"/>
        </w:rPr>
        <w:t>alebo technologických procesov a celkové oživenie podnikov, za účelom zvýšenia pridanej hodnoty výrobkov a poskytovaných služieb.</w:t>
      </w:r>
    </w:p>
    <w:p w:rsidR="00332909" w:rsidRDefault="00332909" w:rsidP="00332909">
      <w:pPr>
        <w:rPr>
          <w:rFonts w:eastAsia="Arial Unicode MS" w:cs="Times New Roman"/>
          <w:bdr w:val="none" w:sz="0" w:space="0" w:color="auto" w:frame="1"/>
          <w:lang w:eastAsia="sk-SK"/>
        </w:rPr>
      </w:pPr>
      <w:r>
        <w:rPr>
          <w:rFonts w:eastAsia="Arial Unicode MS" w:cs="Times New Roman"/>
          <w:bdr w:val="none" w:sz="0" w:space="0" w:color="auto" w:frame="1"/>
          <w:lang w:eastAsia="sk-SK"/>
        </w:rPr>
        <w:t>V rámci tohto opatrenia budú podporené aktivity zamerané predovšetkým na:</w:t>
      </w:r>
    </w:p>
    <w:p w:rsidR="00332909" w:rsidRDefault="00332909" w:rsidP="00C90BE5">
      <w:pPr>
        <w:pStyle w:val="Odsekzoznamu"/>
        <w:numPr>
          <w:ilvl w:val="0"/>
          <w:numId w:val="41"/>
        </w:numPr>
        <w:rPr>
          <w:rFonts w:eastAsia="Times New Roman"/>
        </w:rPr>
      </w:pPr>
      <w:r>
        <w:rPr>
          <w:rFonts w:eastAsia="Times New Roman"/>
        </w:rPr>
        <w:t>zvýšenie efektívnosti a výkonnosti výrobných procesov, prípadne poskytovaných služieb,</w:t>
      </w:r>
    </w:p>
    <w:p w:rsidR="00332909" w:rsidRDefault="00332909" w:rsidP="00C90BE5">
      <w:pPr>
        <w:pStyle w:val="Odsekzoznamu"/>
        <w:numPr>
          <w:ilvl w:val="0"/>
          <w:numId w:val="41"/>
        </w:numPr>
        <w:rPr>
          <w:rFonts w:eastAsia="Times New Roman"/>
        </w:rPr>
      </w:pPr>
      <w:r>
        <w:rPr>
          <w:rFonts w:eastAsia="Times New Roman"/>
        </w:rPr>
        <w:t>podporu vzniku a vybavenia nových inovatívnych výrobných činností,</w:t>
      </w:r>
    </w:p>
    <w:p w:rsidR="00332909" w:rsidRDefault="00332909" w:rsidP="00C90BE5">
      <w:pPr>
        <w:pStyle w:val="Odsekzoznamu"/>
        <w:numPr>
          <w:ilvl w:val="0"/>
          <w:numId w:val="41"/>
        </w:numPr>
        <w:rPr>
          <w:rFonts w:eastAsia="Times New Roman"/>
        </w:rPr>
      </w:pPr>
      <w:r>
        <w:rPr>
          <w:rFonts w:eastAsia="Times New Roman"/>
        </w:rPr>
        <w:t>nákup strojov a technologických zariadení a nevyhnutné stavebné úpravy súvisiace s ich inštaláciou,</w:t>
      </w:r>
    </w:p>
    <w:p w:rsidR="00332909" w:rsidRDefault="00332909" w:rsidP="00C90BE5">
      <w:pPr>
        <w:pStyle w:val="Odsekzoznamu"/>
        <w:numPr>
          <w:ilvl w:val="0"/>
          <w:numId w:val="41"/>
        </w:numPr>
        <w:spacing w:after="240" w:line="360" w:lineRule="auto"/>
        <w:rPr>
          <w:rFonts w:eastAsia="Times New Roman"/>
        </w:rPr>
      </w:pPr>
      <w:r>
        <w:rPr>
          <w:rFonts w:eastAsia="Times New Roman"/>
        </w:rPr>
        <w:t>podporu priemyselného výskumu a vývoja za účelom následného aplikovaného výskumu.</w:t>
      </w:r>
    </w:p>
    <w:p w:rsidR="00332909" w:rsidRPr="00D83386" w:rsidRDefault="00D83386" w:rsidP="00D83386">
      <w:pPr>
        <w:spacing w:after="240" w:line="360" w:lineRule="auto"/>
        <w:rPr>
          <w:rFonts w:eastAsia="Times New Roman"/>
        </w:rPr>
      </w:pPr>
      <w:r>
        <w:rPr>
          <w:rFonts w:eastAsia="Times New Roman"/>
        </w:rPr>
        <w:t>P</w:t>
      </w:r>
      <w:r w:rsidR="00332909" w:rsidRPr="00D83386">
        <w:rPr>
          <w:rFonts w:eastAsia="Times New Roman"/>
        </w:rPr>
        <w:t>očas realizácie projektu sa plánuje s podporou 3 veľkých a 1</w:t>
      </w:r>
      <w:r>
        <w:rPr>
          <w:rFonts w:eastAsia="Times New Roman"/>
        </w:rPr>
        <w:t>0 stredných a malých subjektov.</w:t>
      </w:r>
    </w:p>
    <w:tbl>
      <w:tblPr>
        <w:tblStyle w:val="TableNormal"/>
        <w:tblW w:w="89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695"/>
        <w:gridCol w:w="5215"/>
      </w:tblGrid>
      <w:tr w:rsidR="00332909" w:rsidTr="00332909">
        <w:trPr>
          <w:trHeight w:val="346"/>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C5E6A" w:rsidRDefault="00AB15B6" w:rsidP="00A41D18">
            <w:pPr>
              <w:pStyle w:val="Bezriadkovania"/>
              <w:spacing w:line="276" w:lineRule="auto"/>
              <w:jc w:val="both"/>
              <w:rPr>
                <w:rFonts w:ascii="Times New Roman" w:hAnsi="Times New Roman" w:cs="Times New Roman"/>
                <w:color w:val="auto"/>
              </w:rPr>
            </w:pPr>
            <w:r w:rsidRPr="002E62CF">
              <w:rPr>
                <w:rFonts w:ascii="Times New Roman" w:hAnsi="Times New Roman" w:cs="Times New Roman"/>
                <w:color w:val="auto"/>
              </w:rPr>
              <w:t xml:space="preserve">IROP, </w:t>
            </w:r>
            <w:r w:rsidR="00332909" w:rsidRPr="002E62CF">
              <w:rPr>
                <w:rFonts w:ascii="Times New Roman" w:hAnsi="Times New Roman" w:cs="Times New Roman"/>
                <w:color w:val="auto"/>
              </w:rPr>
              <w:t>OP VaI</w:t>
            </w:r>
            <w:r w:rsidR="002E62CF" w:rsidRPr="002E62CF">
              <w:rPr>
                <w:rFonts w:ascii="Times New Roman" w:hAnsi="Times New Roman" w:cs="Times New Roman"/>
              </w:rPr>
              <w:t xml:space="preserve"> (v zmysle vyhlásených výziev)</w:t>
            </w:r>
            <w:r w:rsidR="006C5E6A">
              <w:rPr>
                <w:rFonts w:ascii="Times New Roman" w:hAnsi="Times New Roman" w:cs="Times New Roman"/>
              </w:rPr>
              <w:t>,</w:t>
            </w:r>
            <w:r>
              <w:rPr>
                <w:rFonts w:ascii="Times New Roman" w:hAnsi="Times New Roman" w:cs="Times New Roman"/>
              </w:rPr>
              <w:t xml:space="preserve"> </w:t>
            </w:r>
            <w:r w:rsidR="00A41D18">
              <w:rPr>
                <w:rFonts w:ascii="Times New Roman" w:hAnsi="Times New Roman" w:cs="Times New Roman"/>
              </w:rPr>
              <w:t>resp. ich</w:t>
            </w:r>
            <w:r>
              <w:rPr>
                <w:rFonts w:ascii="Times New Roman" w:hAnsi="Times New Roman" w:cs="Times New Roman"/>
              </w:rPr>
              <w:t xml:space="preserve"> ekvivalenty v rámci programového obdobia 2020+</w:t>
            </w:r>
          </w:p>
          <w:p w:rsidR="00332909" w:rsidRPr="002E62CF" w:rsidRDefault="00332909" w:rsidP="00A41D18">
            <w:pPr>
              <w:pStyle w:val="Bezriadkovania"/>
              <w:spacing w:line="276" w:lineRule="auto"/>
              <w:jc w:val="both"/>
              <w:rPr>
                <w:rFonts w:ascii="Times New Roman" w:hAnsi="Times New Roman" w:cs="Times New Roman"/>
                <w:color w:val="auto"/>
              </w:rPr>
            </w:pPr>
            <w:r w:rsidRPr="002E62CF">
              <w:rPr>
                <w:rFonts w:ascii="Times New Roman" w:hAnsi="Times New Roman" w:cs="Times New Roman"/>
                <w:color w:val="auto"/>
              </w:rPr>
              <w:t xml:space="preserve"> RP, </w:t>
            </w:r>
            <w:r w:rsidR="002E62CF" w:rsidRPr="002E62CF">
              <w:rPr>
                <w:rFonts w:ascii="Times New Roman" w:hAnsi="Times New Roman" w:cs="Times New Roman"/>
                <w:color w:val="auto"/>
              </w:rPr>
              <w:t xml:space="preserve">vlastné zdroje, </w:t>
            </w:r>
            <w:r w:rsidRPr="002E62CF">
              <w:rPr>
                <w:rFonts w:ascii="Times New Roman" w:hAnsi="Times New Roman" w:cs="Times New Roman"/>
                <w:color w:val="auto"/>
              </w:rPr>
              <w:t>regionálna investičná pomoc</w:t>
            </w:r>
            <w:r w:rsidR="002E62CF" w:rsidRPr="002E62CF">
              <w:rPr>
                <w:rFonts w:ascii="Times New Roman" w:hAnsi="Times New Roman" w:cs="Times New Roman"/>
                <w:color w:val="auto"/>
              </w:rPr>
              <w:t>(</w:t>
            </w:r>
            <w:r w:rsidR="002E62CF" w:rsidRPr="002E62CF">
              <w:rPr>
                <w:rFonts w:ascii="Times New Roman" w:hAnsi="Times New Roman" w:cs="Times New Roman"/>
              </w:rPr>
              <w:t>v zmysle zákona č. 57/2018 Z. z. o regionálnej investičnej pomoci a o zmene a doplnení niektorých zákonov, nejedná sa o právne nárokovateľný zdroj financovania</w:t>
            </w:r>
            <w:r w:rsidR="002E62CF" w:rsidRPr="002E62CF">
              <w:rPr>
                <w:rStyle w:val="Odkaznapoznmkupodiarou"/>
                <w:rFonts w:ascii="Times New Roman" w:hAnsi="Times New Roman" w:cs="Times New Roman"/>
                <w:color w:val="auto"/>
              </w:rPr>
              <w:t xml:space="preserve"> </w:t>
            </w:r>
            <w:r w:rsidR="002E62CF" w:rsidRPr="002E62CF">
              <w:rPr>
                <w:rFonts w:ascii="Times New Roman" w:hAnsi="Times New Roman" w:cs="Times New Roman"/>
              </w:rPr>
              <w:t>)</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 xml:space="preserve">63 212 113 </w:t>
            </w:r>
            <w:r>
              <w:rPr>
                <w:rFonts w:ascii="Times New Roman" w:hAnsi="Times New Roman" w:cs="Times New Roman"/>
                <w:color w:val="auto"/>
              </w:rPr>
              <w:t>eur</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výška RP: </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575 tis. eur</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B15B6">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Z toho orientačne</w:t>
            </w:r>
            <w:r w:rsidR="00DB5883">
              <w:rPr>
                <w:rFonts w:ascii="Times New Roman" w:hAnsi="Times New Roman" w:cs="Times New Roman"/>
                <w:b/>
                <w:bCs/>
                <w:color w:val="auto"/>
              </w:rPr>
              <w:t xml:space="preserve"> programy spolufinancované z</w:t>
            </w:r>
            <w:r>
              <w:rPr>
                <w:rFonts w:ascii="Times New Roman" w:hAnsi="Times New Roman" w:cs="Times New Roman"/>
                <w:b/>
                <w:bCs/>
                <w:color w:val="auto"/>
              </w:rPr>
              <w:t xml:space="preserve"> EŠIF:</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Pr="007D65E9" w:rsidRDefault="00332909" w:rsidP="00D232DC">
            <w:pPr>
              <w:pStyle w:val="Bezriadkovania"/>
              <w:spacing w:line="276" w:lineRule="auto"/>
              <w:jc w:val="both"/>
              <w:rPr>
                <w:rFonts w:ascii="Times New Roman" w:hAnsi="Times New Roman" w:cs="Times New Roman"/>
                <w:color w:val="auto"/>
                <w:highlight w:val="yellow"/>
              </w:rPr>
            </w:pPr>
            <w:r w:rsidRPr="00AB15B6">
              <w:rPr>
                <w:rFonts w:ascii="Times New Roman" w:hAnsi="Times New Roman" w:cs="Times New Roman"/>
                <w:color w:val="auto"/>
              </w:rPr>
              <w:t>14 092 113 eur</w:t>
            </w:r>
          </w:p>
        </w:tc>
      </w:tr>
      <w:tr w:rsidR="00332909" w:rsidTr="00332909">
        <w:trPr>
          <w:trHeight w:val="346"/>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lastRenderedPageBreak/>
              <w:t>Počet vytvorených pracovných miest:</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461</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Podnikateľské subjekty</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Partneri:</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lang w:val="en-US"/>
              </w:rPr>
            </w:pPr>
            <w:r>
              <w:rPr>
                <w:rFonts w:ascii="Times New Roman" w:hAnsi="Times New Roman" w:cs="Times New Roman"/>
                <w:color w:val="auto"/>
              </w:rPr>
              <w:t xml:space="preserve">rada, výbor </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332909">
        <w:trPr>
          <w:trHeight w:val="161"/>
        </w:trPr>
        <w:tc>
          <w:tcPr>
            <w:tcW w:w="3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subjekty územnej spolupráce, iné právnické osoby, fyzické osoby - podnikatelia</w:t>
            </w:r>
          </w:p>
        </w:tc>
      </w:tr>
    </w:tbl>
    <w:p w:rsidR="00332909" w:rsidRDefault="00332909" w:rsidP="00332909">
      <w:pPr>
        <w:pStyle w:val="Nadpis3"/>
        <w:spacing w:before="240"/>
        <w:rPr>
          <w:rFonts w:cs="Times New Roman"/>
        </w:rPr>
      </w:pPr>
      <w:bookmarkStart w:id="50" w:name="_Toc511211871"/>
      <w:bookmarkStart w:id="51" w:name="_Toc517084347"/>
      <w:r>
        <w:rPr>
          <w:rFonts w:cs="Times New Roman"/>
        </w:rPr>
        <w:t>Opatrenie B.2. Podpora oživenia poľnohospodárstva a lesníctva so zameraním na využitie nízko kvalifikovanej pracovnej sily</w:t>
      </w:r>
      <w:bookmarkEnd w:id="50"/>
      <w:bookmarkEnd w:id="51"/>
    </w:p>
    <w:p w:rsidR="00332909" w:rsidRDefault="00332909" w:rsidP="00332909">
      <w:pPr>
        <w:pStyle w:val="Bezriadkovania"/>
        <w:spacing w:after="120" w:line="276" w:lineRule="auto"/>
        <w:jc w:val="both"/>
        <w:rPr>
          <w:rFonts w:ascii="Times New Roman" w:eastAsia="Times New Roman" w:hAnsi="Times New Roman" w:cs="Times New Roman"/>
          <w:color w:val="auto"/>
        </w:rPr>
      </w:pPr>
      <w:r>
        <w:rPr>
          <w:rFonts w:ascii="Times New Roman" w:hAnsi="Times New Roman" w:cs="Times New Roman"/>
          <w:color w:val="auto"/>
        </w:rPr>
        <w:t xml:space="preserve">Cieľom opatrenia je podporiť výrobu, spracovanie a uvádzanie na trh poľnohospodárskych produktov, predovšetkým miestnych špecialít a zavádzanie BIO produkcie s pozitívnym dopadom na tvorbu nových pracovných miest, podpora živočíšnej výroby, ovocinárstva a ďalších súčastí pôdohospodárstva okresu. Je potrebné zamerať sa na využívanie, spracovávanie domácich surovín, zabezpečenie ich odbytu v regióne, vytvorenie predpokladov spracovateľského priemyslu, diverzifikáciu činností, vytvoriť lokálny trh regionálnych produktov. </w:t>
      </w:r>
    </w:p>
    <w:p w:rsidR="00332909" w:rsidRDefault="00332909" w:rsidP="00332909">
      <w:pPr>
        <w:pStyle w:val="Bezriadkovania"/>
        <w:spacing w:after="120" w:line="276" w:lineRule="auto"/>
        <w:jc w:val="both"/>
        <w:rPr>
          <w:rFonts w:ascii="Times New Roman" w:eastAsia="Times New Roman" w:hAnsi="Times New Roman" w:cs="Times New Roman"/>
          <w:color w:val="auto"/>
        </w:rPr>
      </w:pPr>
      <w:r>
        <w:rPr>
          <w:rFonts w:ascii="Times New Roman" w:hAnsi="Times New Roman" w:cs="Times New Roman"/>
          <w:color w:val="auto"/>
        </w:rPr>
        <w:t xml:space="preserve">V oblasti rozvoja lesného hospodárstva je potrebné zamerať sa na pozemkové úpravy, majetkové vysporiadanie, zalesňovanie. Okres Bardejov je v rámci PSK 4. okresom s najväčšou rozlohou lesa, v okrese sa nachádza mnoho subjektov podnikajúcich v oblasti lesného hospodárstva. </w:t>
      </w:r>
    </w:p>
    <w:p w:rsidR="00332909" w:rsidRDefault="00332909" w:rsidP="00332909">
      <w:pPr>
        <w:rPr>
          <w:rFonts w:cs="Times New Roman"/>
        </w:rPr>
      </w:pPr>
      <w:r>
        <w:rPr>
          <w:rFonts w:cs="Times New Roman"/>
        </w:rPr>
        <w:t>V rámci tohto opatrenia budú podporené aktivity zamerané predovšetkým na:</w:t>
      </w:r>
    </w:p>
    <w:p w:rsidR="00332909" w:rsidRDefault="00332909" w:rsidP="00C90BE5">
      <w:pPr>
        <w:pStyle w:val="Odsekzoznamu"/>
        <w:numPr>
          <w:ilvl w:val="0"/>
          <w:numId w:val="42"/>
        </w:numPr>
      </w:pPr>
      <w:r>
        <w:t xml:space="preserve">podporu rozvoja poľnohospodárstva na území okresu a zároveň na posilnenie konkurencieschopnosti lokálneho spracovateľského a potravinárskeho priemyslu a zvýšenie efektivity všetkých výrobných faktorov, </w:t>
      </w:r>
    </w:p>
    <w:p w:rsidR="00332909" w:rsidRDefault="00332909" w:rsidP="00C90BE5">
      <w:pPr>
        <w:pStyle w:val="Odsekzoznamu"/>
        <w:numPr>
          <w:ilvl w:val="0"/>
          <w:numId w:val="42"/>
        </w:numPr>
      </w:pPr>
      <w:r>
        <w:t xml:space="preserve">podporu rozvoja lesníckych podnikov predovšetkým do zvýšenia ich konkurencieschopnosti, zvýšenia ekonomickej hodnoty lesa prostredníctvom lepších postupov obhospodarovania lesov a podpory tvorby nových pracovných miest, </w:t>
      </w:r>
    </w:p>
    <w:p w:rsidR="00332909" w:rsidRDefault="00332909" w:rsidP="00C90BE5">
      <w:pPr>
        <w:pStyle w:val="Odsekzoznamu"/>
        <w:numPr>
          <w:ilvl w:val="0"/>
          <w:numId w:val="42"/>
        </w:numPr>
        <w:spacing w:after="240"/>
      </w:pPr>
      <w:r>
        <w:t>obnovu hospodárskych budov (rekonštrukcie a stavebné úpravy), obstaranie strojov, zariadení a pod., ktoré priamo súvisia s predmetom podnikania v oblasti poľnohospodárstva, lesníctva a rybného hospodárstva.</w:t>
      </w:r>
    </w:p>
    <w:tbl>
      <w:tblPr>
        <w:tblStyle w:val="TableNormal"/>
        <w:tblW w:w="90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906"/>
        <w:gridCol w:w="6184"/>
      </w:tblGrid>
      <w:tr w:rsidR="00332909" w:rsidTr="00D83386">
        <w:trPr>
          <w:trHeight w:val="509"/>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C5E6A" w:rsidRDefault="00A41D18"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OP Rybné hospodárstvo, </w:t>
            </w:r>
            <w:r w:rsidR="00332909">
              <w:rPr>
                <w:rFonts w:ascii="Times New Roman" w:hAnsi="Times New Roman" w:cs="Times New Roman"/>
                <w:color w:val="auto"/>
              </w:rPr>
              <w:t>PRV</w:t>
            </w:r>
            <w:r w:rsidR="006C5E6A">
              <w:rPr>
                <w:rFonts w:ascii="Times New Roman" w:hAnsi="Times New Roman" w:cs="Times New Roman"/>
              </w:rPr>
              <w:t xml:space="preserve">, </w:t>
            </w:r>
            <w:r>
              <w:rPr>
                <w:rFonts w:ascii="Times New Roman" w:hAnsi="Times New Roman" w:cs="Times New Roman"/>
              </w:rPr>
              <w:t>resp. ich ekvivalenty v rámci programového obdobia 2020+</w:t>
            </w:r>
          </w:p>
          <w:p w:rsidR="00332909" w:rsidRDefault="00332909"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RP, vlastné zdroje</w:t>
            </w:r>
          </w:p>
        </w:tc>
      </w:tr>
      <w:tr w:rsidR="00332909" w:rsidTr="00D83386">
        <w:trPr>
          <w:trHeight w:val="237"/>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 xml:space="preserve">Celkový rozpočet: </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 xml:space="preserve">15 652 564 </w:t>
            </w:r>
            <w:r>
              <w:rPr>
                <w:rFonts w:ascii="Times New Roman" w:hAnsi="Times New Roman" w:cs="Times New Roman"/>
                <w:color w:val="auto"/>
              </w:rPr>
              <w:t>eur</w:t>
            </w:r>
          </w:p>
        </w:tc>
      </w:tr>
      <w:tr w:rsidR="00332909" w:rsidTr="00D83386">
        <w:trPr>
          <w:trHeight w:val="237"/>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výška RP: </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533 tis. eur</w:t>
            </w:r>
          </w:p>
        </w:tc>
      </w:tr>
      <w:tr w:rsidR="00332909" w:rsidTr="00D83386">
        <w:trPr>
          <w:trHeight w:val="237"/>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D232DC">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Z toho orientačne</w:t>
            </w:r>
            <w:r w:rsidR="00024A1D">
              <w:rPr>
                <w:rFonts w:ascii="Times New Roman" w:hAnsi="Times New Roman" w:cs="Times New Roman"/>
                <w:b/>
                <w:bCs/>
                <w:color w:val="auto"/>
              </w:rPr>
              <w:t xml:space="preserve"> programy spolufinancované z</w:t>
            </w:r>
            <w:r>
              <w:rPr>
                <w:rFonts w:ascii="Times New Roman" w:hAnsi="Times New Roman" w:cs="Times New Roman"/>
                <w:b/>
                <w:bCs/>
                <w:color w:val="auto"/>
              </w:rPr>
              <w:t xml:space="preserve"> EŠIF:</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0A706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6 </w:t>
            </w:r>
            <w:r w:rsidR="00332909">
              <w:rPr>
                <w:rFonts w:ascii="Times New Roman" w:hAnsi="Times New Roman" w:cs="Times New Roman"/>
                <w:color w:val="auto"/>
              </w:rPr>
              <w:t>718 tis. eur</w:t>
            </w:r>
          </w:p>
        </w:tc>
      </w:tr>
      <w:tr w:rsidR="00332909" w:rsidTr="00D83386">
        <w:trPr>
          <w:trHeight w:val="509"/>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389</w:t>
            </w:r>
          </w:p>
        </w:tc>
      </w:tr>
      <w:tr w:rsidR="00332909" w:rsidTr="00D83386">
        <w:trPr>
          <w:trHeight w:val="509"/>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Podnikateľské subjekty podnikajúce v poľnohospodárstve, v lesnom a rybom hospodárstve</w:t>
            </w:r>
          </w:p>
        </w:tc>
      </w:tr>
      <w:tr w:rsidR="00332909" w:rsidTr="00D83386">
        <w:trPr>
          <w:trHeight w:val="509"/>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lastRenderedPageBreak/>
              <w:t>Partneri:</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rada, výbor </w:t>
            </w:r>
          </w:p>
        </w:tc>
      </w:tr>
      <w:tr w:rsidR="00332909" w:rsidTr="00D83386">
        <w:trPr>
          <w:trHeight w:val="237"/>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D83386">
        <w:trPr>
          <w:trHeight w:val="237"/>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D83386">
        <w:trPr>
          <w:trHeight w:val="237"/>
        </w:trPr>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6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subjekty územnej spolupráce, iné právnické osoby, fyzické osoby - podnikatelia</w:t>
            </w:r>
          </w:p>
        </w:tc>
      </w:tr>
    </w:tbl>
    <w:p w:rsidR="00332909" w:rsidRDefault="00332909" w:rsidP="00332909">
      <w:pPr>
        <w:pStyle w:val="Nadpis3"/>
        <w:rPr>
          <w:rFonts w:eastAsia="Times New Roman" w:cs="Times New Roman"/>
        </w:rPr>
      </w:pPr>
      <w:bookmarkStart w:id="52" w:name="_Toc511211872"/>
      <w:bookmarkStart w:id="53" w:name="_Toc517084348"/>
      <w:bookmarkStart w:id="54" w:name="_Hlk497314566"/>
      <w:r>
        <w:rPr>
          <w:rFonts w:eastAsia="Times New Roman" w:cs="Times New Roman"/>
        </w:rPr>
        <w:t xml:space="preserve">Opatrenie B.3. Podpora cestovného ruchu </w:t>
      </w:r>
      <w:bookmarkEnd w:id="52"/>
      <w:r>
        <w:rPr>
          <w:rFonts w:eastAsia="Times New Roman" w:cs="Times New Roman"/>
        </w:rPr>
        <w:t>v okrese Bardejov</w:t>
      </w:r>
      <w:bookmarkEnd w:id="53"/>
    </w:p>
    <w:p w:rsidR="00332909" w:rsidRDefault="00332909" w:rsidP="00332909">
      <w:pPr>
        <w:rPr>
          <w:rFonts w:eastAsia="Times New Roman" w:cs="Times New Roman"/>
        </w:rPr>
      </w:pPr>
      <w:r>
        <w:rPr>
          <w:rFonts w:cs="Times New Roman"/>
        </w:rPr>
        <w:t xml:space="preserve">Cieľom opatrenia je podporiť aktivity zamerané na budovanie infraštruktúry cestovného ruchu a služieb v súlade so stratégiou pre rozvoj cestovného ruchu v okrese s dôrazom na: </w:t>
      </w:r>
    </w:p>
    <w:p w:rsidR="00332909" w:rsidRDefault="00332909" w:rsidP="00C90BE5">
      <w:pPr>
        <w:pStyle w:val="Odsekzoznamu"/>
        <w:numPr>
          <w:ilvl w:val="0"/>
          <w:numId w:val="44"/>
        </w:numPr>
        <w:spacing w:after="0"/>
        <w:rPr>
          <w:rFonts w:eastAsia="Times New Roman"/>
        </w:rPr>
      </w:pPr>
      <w:r>
        <w:t>využitie potenciálu Bardejovských kúpeľov, historického centra okresného mesta a ich okolia ako celoročného výletného miesta cestovného ruchu so zameraním na rozvoj poznávacieho a pobytového cestovného ruchu, s vytvorením komplexných a doplnkových služieb cestovného ruchu využívaných celoročne</w:t>
      </w:r>
    </w:p>
    <w:p w:rsidR="00332909" w:rsidRDefault="00332909" w:rsidP="00C90BE5">
      <w:pPr>
        <w:pStyle w:val="Odsekzoznamu"/>
        <w:numPr>
          <w:ilvl w:val="0"/>
          <w:numId w:val="44"/>
        </w:numPr>
        <w:spacing w:after="0"/>
        <w:rPr>
          <w:rFonts w:eastAsia="Times New Roman"/>
        </w:rPr>
      </w:pPr>
      <w:r>
        <w:t xml:space="preserve">identifikáciu možnosti zvýšenia záujmu o vidiecky turizmus, </w:t>
      </w:r>
    </w:p>
    <w:p w:rsidR="00332909" w:rsidRDefault="00332909" w:rsidP="00C90BE5">
      <w:pPr>
        <w:pStyle w:val="Odsekzoznamu"/>
        <w:numPr>
          <w:ilvl w:val="0"/>
          <w:numId w:val="44"/>
        </w:numPr>
        <w:spacing w:after="0"/>
        <w:rPr>
          <w:rFonts w:eastAsia="Times New Roman"/>
        </w:rPr>
      </w:pPr>
      <w:r>
        <w:t xml:space="preserve">rozvoj a dostupnosť zimnej turistiky a uskutočňovania zimných športov v lyžiarskych strediskách okresu, zabezpečiť vytvorenie celoročných podmienok využívania prírodného prostredia a okolia lyžiarskych stredísk, </w:t>
      </w:r>
    </w:p>
    <w:p w:rsidR="00332909" w:rsidRDefault="00332909" w:rsidP="00C90BE5">
      <w:pPr>
        <w:pStyle w:val="Odsekzoznamu"/>
        <w:numPr>
          <w:ilvl w:val="0"/>
          <w:numId w:val="44"/>
        </w:numPr>
        <w:spacing w:after="0"/>
        <w:rPr>
          <w:rFonts w:eastAsia="Times New Roman"/>
        </w:rPr>
      </w:pPr>
      <w:r>
        <w:t xml:space="preserve">poznávanie kultúrneho dedičstva a histórie, tradícií založených na zážitku, najmä využitie špecifických zdrojov územia (drevené chrámy, minerálne pramene, pútnictvo, kultúrne pamiatky...) </w:t>
      </w:r>
    </w:p>
    <w:p w:rsidR="00332909" w:rsidRDefault="00332909" w:rsidP="00C90BE5">
      <w:pPr>
        <w:pStyle w:val="Odsekzoznamu"/>
        <w:numPr>
          <w:ilvl w:val="0"/>
          <w:numId w:val="44"/>
        </w:numPr>
        <w:spacing w:after="0"/>
        <w:rPr>
          <w:rFonts w:eastAsia="Times New Roman"/>
        </w:rPr>
      </w:pPr>
      <w:r>
        <w:t>budovanie regionálnej značky, marketing, propagácia územia okresu ako destinácie CR a posilnenie oficiálneho manažmentu - manažment územia a koordinácia subjektov.</w:t>
      </w:r>
    </w:p>
    <w:p w:rsidR="00332909" w:rsidRDefault="00332909" w:rsidP="00332909">
      <w:pPr>
        <w:spacing w:before="120"/>
        <w:rPr>
          <w:rFonts w:eastAsia="Times New Roman" w:cs="Times New Roman"/>
        </w:rPr>
      </w:pPr>
      <w:r>
        <w:rPr>
          <w:rFonts w:eastAsia="Times New Roman" w:cs="Times New Roman"/>
        </w:rPr>
        <w:t>Pôjde predovšetkým o podporu aktivít zameraných na:</w:t>
      </w:r>
    </w:p>
    <w:p w:rsidR="00332909" w:rsidRDefault="00332909" w:rsidP="00C90BE5">
      <w:pPr>
        <w:pStyle w:val="Odsekzoznamu"/>
        <w:numPr>
          <w:ilvl w:val="0"/>
          <w:numId w:val="43"/>
        </w:numPr>
        <w:rPr>
          <w:rFonts w:eastAsia="Times New Roman"/>
        </w:rPr>
      </w:pPr>
      <w:r>
        <w:rPr>
          <w:rFonts w:eastAsia="Times New Roman"/>
        </w:rPr>
        <w:t>zvýšenie atraktivity územia okresu prostredníctvom marketingových aktivít,</w:t>
      </w:r>
    </w:p>
    <w:p w:rsidR="00332909" w:rsidRDefault="00332909" w:rsidP="00C90BE5">
      <w:pPr>
        <w:pStyle w:val="Odsekzoznamu"/>
        <w:numPr>
          <w:ilvl w:val="0"/>
          <w:numId w:val="43"/>
        </w:numPr>
        <w:rPr>
          <w:rFonts w:eastAsia="Times New Roman"/>
        </w:rPr>
      </w:pPr>
      <w:r>
        <w:rPr>
          <w:rFonts w:eastAsia="Times New Roman"/>
        </w:rPr>
        <w:t>budovanie a doplnenie infraštruktúry cestovného ruchu,</w:t>
      </w:r>
    </w:p>
    <w:p w:rsidR="00332909" w:rsidRDefault="00332909" w:rsidP="00C90BE5">
      <w:pPr>
        <w:pStyle w:val="Odsekzoznamu"/>
        <w:numPr>
          <w:ilvl w:val="0"/>
          <w:numId w:val="43"/>
        </w:numPr>
        <w:rPr>
          <w:rFonts w:eastAsia="Times New Roman"/>
        </w:rPr>
      </w:pPr>
      <w:r>
        <w:rPr>
          <w:rFonts w:eastAsia="Times New Roman"/>
        </w:rPr>
        <w:t>zlepšenie dostupnosti bodov záujmu cestovného ruchu ( turistické chodníky, cyklochodníky, náučné chodníky a pod.),</w:t>
      </w:r>
    </w:p>
    <w:p w:rsidR="00332909" w:rsidRDefault="00332909" w:rsidP="00C90BE5">
      <w:pPr>
        <w:pStyle w:val="Odsekzoznamu"/>
        <w:numPr>
          <w:ilvl w:val="0"/>
          <w:numId w:val="43"/>
        </w:numPr>
        <w:rPr>
          <w:rFonts w:eastAsia="Times New Roman"/>
        </w:rPr>
      </w:pPr>
      <w:r>
        <w:rPr>
          <w:rFonts w:eastAsia="Times New Roman"/>
        </w:rPr>
        <w:t>zlepšenie stavebno-technického stavu objektov CR, objektov s kultúrnou a historickou hodnotou, kultúrnych pamiatok a pod.</w:t>
      </w:r>
    </w:p>
    <w:p w:rsidR="00332909" w:rsidRDefault="00C90BE5" w:rsidP="00C90BE5">
      <w:pPr>
        <w:spacing w:after="240"/>
        <w:rPr>
          <w:rFonts w:eastAsia="Times New Roman"/>
        </w:rPr>
      </w:pPr>
      <w:r>
        <w:rPr>
          <w:rFonts w:eastAsia="Times New Roman"/>
        </w:rPr>
        <w:t>V</w:t>
      </w:r>
      <w:r w:rsidR="00332909" w:rsidRPr="00C90BE5">
        <w:rPr>
          <w:rFonts w:eastAsia="Times New Roman"/>
        </w:rPr>
        <w:t> dôsledku realizácie projektu sa predpokladá so zavedením 3 a viac nových služieb v</w:t>
      </w:r>
      <w:r>
        <w:rPr>
          <w:rFonts w:eastAsia="Times New Roman"/>
        </w:rPr>
        <w:t> </w:t>
      </w:r>
      <w:r w:rsidR="00332909" w:rsidRPr="00C90BE5">
        <w:rPr>
          <w:rFonts w:eastAsia="Times New Roman"/>
        </w:rPr>
        <w:t>okrese</w:t>
      </w:r>
      <w:r>
        <w:rPr>
          <w:rFonts w:eastAsia="Times New Roman"/>
        </w:rPr>
        <w:t>.</w:t>
      </w:r>
    </w:p>
    <w:tbl>
      <w:tblPr>
        <w:tblStyle w:val="TableNormal"/>
        <w:tblW w:w="89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412"/>
        <w:gridCol w:w="5498"/>
      </w:tblGrid>
      <w:tr w:rsidR="00332909" w:rsidTr="00332909">
        <w:trPr>
          <w:trHeight w:val="357"/>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5B69D4" w:rsidRDefault="00332909"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PRV, IROP</w:t>
            </w:r>
            <w:r w:rsidR="005B69D4">
              <w:rPr>
                <w:rFonts w:ascii="Times New Roman" w:hAnsi="Times New Roman" w:cs="Times New Roman"/>
                <w:color w:val="auto"/>
              </w:rPr>
              <w:t>,</w:t>
            </w:r>
            <w:r w:rsidR="00F16657">
              <w:rPr>
                <w:rFonts w:ascii="Times New Roman" w:hAnsi="Times New Roman" w:cs="Times New Roman"/>
              </w:rPr>
              <w:t xml:space="preserve"> </w:t>
            </w:r>
            <w:r w:rsidR="005B69D4">
              <w:rPr>
                <w:rFonts w:ascii="Times New Roman" w:hAnsi="Times New Roman" w:cs="Times New Roman"/>
              </w:rPr>
              <w:t>resp.</w:t>
            </w:r>
            <w:r w:rsidR="00A41D18">
              <w:rPr>
                <w:rFonts w:ascii="Times New Roman" w:hAnsi="Times New Roman" w:cs="Times New Roman"/>
              </w:rPr>
              <w:t xml:space="preserve"> ich</w:t>
            </w:r>
            <w:r w:rsidR="00F16657">
              <w:rPr>
                <w:rFonts w:ascii="Times New Roman" w:hAnsi="Times New Roman" w:cs="Times New Roman"/>
              </w:rPr>
              <w:t xml:space="preserve"> ekvivalenty v rámci programového obdobia 2020+</w:t>
            </w:r>
          </w:p>
          <w:p w:rsidR="00332909" w:rsidRDefault="00F16657"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RP, </w:t>
            </w:r>
            <w:r w:rsidR="00332909">
              <w:rPr>
                <w:rFonts w:ascii="Times New Roman" w:hAnsi="Times New Roman" w:cs="Times New Roman"/>
                <w:color w:val="auto"/>
              </w:rPr>
              <w:t xml:space="preserve">MK SR, VÚC, </w:t>
            </w:r>
            <w:r w:rsidR="009C2EAE">
              <w:rPr>
                <w:rFonts w:ascii="Times New Roman" w:hAnsi="Times New Roman" w:cs="Times New Roman"/>
                <w:color w:val="auto"/>
              </w:rPr>
              <w:t>Fond na podporu umenia,</w:t>
            </w:r>
            <w:r w:rsidR="009C2EAE" w:rsidRPr="009C2EAE">
              <w:rPr>
                <w:rFonts w:ascii="Times New Roman" w:hAnsi="Times New Roman" w:cs="Times New Roman"/>
                <w:color w:val="auto"/>
              </w:rPr>
              <w:t xml:space="preserve"> Fond na podporu kultúry národnostných menšín</w:t>
            </w:r>
            <w:r w:rsidR="00235E14">
              <w:rPr>
                <w:rFonts w:ascii="Times New Roman" w:hAnsi="Times New Roman" w:cs="Times New Roman"/>
                <w:color w:val="auto"/>
              </w:rPr>
              <w:t>,</w:t>
            </w:r>
            <w:r w:rsidR="009C2EAE" w:rsidRPr="009C2EAE">
              <w:rPr>
                <w:rFonts w:ascii="Times New Roman" w:hAnsi="Times New Roman" w:cs="Times New Roman"/>
                <w:color w:val="auto"/>
              </w:rPr>
              <w:t xml:space="preserve"> </w:t>
            </w:r>
            <w:r w:rsidR="00332909">
              <w:rPr>
                <w:rFonts w:ascii="Times New Roman" w:hAnsi="Times New Roman" w:cs="Times New Roman"/>
                <w:color w:val="auto"/>
              </w:rPr>
              <w:t>vlastné zdroje</w:t>
            </w:r>
            <w:r>
              <w:rPr>
                <w:rFonts w:ascii="Times New Roman" w:hAnsi="Times New Roman" w:cs="Times New Roman"/>
                <w:color w:val="auto"/>
              </w:rPr>
              <w:t>,</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en-US" w:eastAsia="en-US"/>
              </w:rPr>
              <w:t xml:space="preserve">19 889 784 </w:t>
            </w:r>
            <w:r>
              <w:rPr>
                <w:rFonts w:ascii="Times New Roman" w:hAnsi="Times New Roman" w:cs="Times New Roman"/>
                <w:color w:val="auto"/>
              </w:rPr>
              <w:t>eur</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výška RP: </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340 tis. eur</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41D18">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234EE6">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9 706</w:t>
            </w:r>
            <w:r w:rsidR="00332909">
              <w:rPr>
                <w:rFonts w:ascii="Times New Roman" w:hAnsi="Times New Roman" w:cs="Times New Roman"/>
                <w:color w:val="auto"/>
              </w:rPr>
              <w:t xml:space="preserve"> tis. eur</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74</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232546">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lastRenderedPageBreak/>
              <w:t>Kľúčoví partneri :</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 OOCR Šariš - Bardejov, občianske združenia, podnikateľské subjekty, PSK, tretí sektor</w:t>
            </w:r>
            <w:r w:rsidR="00100ED9">
              <w:rPr>
                <w:rFonts w:ascii="Times New Roman" w:hAnsi="Times New Roman" w:cs="Times New Roman"/>
                <w:color w:val="auto"/>
              </w:rPr>
              <w:t xml:space="preserve">, KOCR Severovýchod Slovenska, </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Partneri:</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313"/>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Účel RP:</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332909">
        <w:trPr>
          <w:trHeight w:val="166"/>
        </w:trPr>
        <w:tc>
          <w:tcPr>
            <w:tcW w:w="3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Prijímateľ RP:</w:t>
            </w:r>
          </w:p>
        </w:tc>
        <w:tc>
          <w:tcPr>
            <w:tcW w:w="5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subjekty územnej spolupráce, iné právnické osoby a fyzické osoby - podnikatelia</w:t>
            </w:r>
          </w:p>
        </w:tc>
      </w:tr>
    </w:tbl>
    <w:p w:rsidR="00332909" w:rsidRDefault="00332909" w:rsidP="00332909">
      <w:pPr>
        <w:pStyle w:val="Nadpis2"/>
        <w:rPr>
          <w:rFonts w:eastAsia="Times New Roman" w:cs="Times New Roman"/>
          <w:sz w:val="22"/>
          <w:szCs w:val="22"/>
        </w:rPr>
      </w:pPr>
      <w:bookmarkStart w:id="55" w:name="_Toc511211874"/>
      <w:bookmarkStart w:id="56" w:name="_Toc517084349"/>
      <w:bookmarkStart w:id="57" w:name="_Toc5"/>
      <w:r>
        <w:rPr>
          <w:rFonts w:cs="Times New Roman"/>
          <w:sz w:val="22"/>
          <w:szCs w:val="22"/>
        </w:rPr>
        <w:t>C. Prioritná oblasť – vzdelávanie a adaptácia pracovnej sily na potreby trhu</w:t>
      </w:r>
      <w:bookmarkEnd w:id="55"/>
      <w:bookmarkEnd w:id="56"/>
      <w:r>
        <w:rPr>
          <w:rFonts w:cs="Times New Roman"/>
          <w:sz w:val="22"/>
          <w:szCs w:val="22"/>
        </w:rPr>
        <w:t xml:space="preserve"> </w:t>
      </w:r>
      <w:bookmarkEnd w:id="57"/>
    </w:p>
    <w:bookmarkEnd w:id="54"/>
    <w:p w:rsidR="00332909" w:rsidRDefault="00332909" w:rsidP="00332909">
      <w:pPr>
        <w:rPr>
          <w:rFonts w:cs="Times New Roman"/>
        </w:rPr>
      </w:pPr>
      <w:r>
        <w:rPr>
          <w:rFonts w:cs="Times New Roman"/>
        </w:rPr>
        <w:t>Prioritná oblasť je zameraná na podporu a rozvoj ľudského kapitálu v okrese prostredníctvom vzdelávania a adaptácie pracovných síl v závislosti od požiadaviek trhu práce, ako aj na podporu podnikov sociálnej ekonomiky a obecných podnikov, inovatívnych projektov, prípravy na budúce povolanie, informovanie a prípravu nízko kvalifikovanej pracovnej sily na trh práce.</w:t>
      </w:r>
    </w:p>
    <w:p w:rsidR="00332909" w:rsidRDefault="00332909" w:rsidP="00332909">
      <w:pPr>
        <w:pStyle w:val="Nadpis3"/>
        <w:rPr>
          <w:rFonts w:eastAsia="Times New Roman" w:cs="Times New Roman"/>
        </w:rPr>
      </w:pPr>
      <w:bookmarkStart w:id="58" w:name="_Toc511211875"/>
      <w:bookmarkStart w:id="59" w:name="_Toc517084350"/>
      <w:r>
        <w:rPr>
          <w:rFonts w:eastAsia="Times New Roman" w:cs="Times New Roman"/>
        </w:rPr>
        <w:t>Opatrenie C.1. Podpora predprimárneho a primárneho vzdelávania</w:t>
      </w:r>
      <w:bookmarkEnd w:id="58"/>
      <w:bookmarkEnd w:id="59"/>
      <w:r>
        <w:rPr>
          <w:rFonts w:eastAsia="Times New Roman" w:cs="Times New Roman"/>
        </w:rPr>
        <w:t xml:space="preserve"> </w:t>
      </w:r>
    </w:p>
    <w:p w:rsidR="00332909" w:rsidRDefault="00332909" w:rsidP="00332909">
      <w:pPr>
        <w:rPr>
          <w:rFonts w:cs="Times New Roman"/>
        </w:rPr>
      </w:pPr>
      <w:r>
        <w:rPr>
          <w:rFonts w:cs="Times New Roman"/>
        </w:rPr>
        <w:t xml:space="preserve">V oblasti predprimárneho vzdelávania je potrebné zabezpečiť dostatočnú kapacitu prostredníctvom výstavby novej MŠ, predovšetkým v obciach s vysokou mierou obyvateľov z MRK. Nedostatočná zaškolenosť (nedostatočne rozvinutá jemná motorika, neznalosť slovenčiny, nedostatky v kultúrnych a hygienických návykoch...) je bariérou zaradenia sa do  hlavného prúdu vzdelávania. </w:t>
      </w:r>
    </w:p>
    <w:p w:rsidR="00332909" w:rsidRDefault="00332909" w:rsidP="00332909">
      <w:pPr>
        <w:rPr>
          <w:rFonts w:cs="Times New Roman"/>
        </w:rPr>
      </w:pPr>
      <w:r>
        <w:rPr>
          <w:rFonts w:cs="Times New Roman"/>
        </w:rPr>
        <w:t>Taktiež je potrebné zabezpečiť dostatočné materiálno-technické vybavenie odborných učební na základných školách, ktoré je mnohokrát po dobe svojej životnosti, nereflektujúce aktuálne potreby odborného vzdelávania na úrovni základných škôl.</w:t>
      </w:r>
    </w:p>
    <w:p w:rsidR="00332909" w:rsidRDefault="00332909" w:rsidP="00332909">
      <w:pPr>
        <w:rPr>
          <w:rFonts w:eastAsia="Times New Roman" w:cs="Times New Roman"/>
        </w:rPr>
      </w:pPr>
      <w:r>
        <w:rPr>
          <w:rFonts w:cs="Times New Roman"/>
        </w:rPr>
        <w:t>V rámci opatrenia budú podporené aktivity zamerané na:</w:t>
      </w:r>
    </w:p>
    <w:p w:rsidR="00332909" w:rsidRDefault="00332909" w:rsidP="00C90BE5">
      <w:pPr>
        <w:pStyle w:val="Odsekzoznamu"/>
        <w:numPr>
          <w:ilvl w:val="0"/>
          <w:numId w:val="45"/>
        </w:numPr>
        <w:spacing w:after="0"/>
        <w:rPr>
          <w:rFonts w:eastAsia="Times New Roman"/>
        </w:rPr>
      </w:pPr>
      <w:r>
        <w:t xml:space="preserve">výstavbu, rekonštrukciou a stavebné úpravy MŠ a ZŠ vrátane telocviční a športovísk, </w:t>
      </w:r>
    </w:p>
    <w:p w:rsidR="00332909" w:rsidRDefault="00332909" w:rsidP="00C90BE5">
      <w:pPr>
        <w:pStyle w:val="Odsekzoznamu"/>
        <w:numPr>
          <w:ilvl w:val="0"/>
          <w:numId w:val="45"/>
        </w:numPr>
        <w:spacing w:after="0"/>
        <w:rPr>
          <w:rFonts w:eastAsia="Times New Roman"/>
        </w:rPr>
      </w:pPr>
      <w:r>
        <w:t>materiálno-technické vybavenie MŠ, ZŠ,</w:t>
      </w:r>
    </w:p>
    <w:p w:rsidR="00332909" w:rsidRDefault="00332909" w:rsidP="00C90BE5">
      <w:pPr>
        <w:pStyle w:val="Odsekzoznamu"/>
        <w:numPr>
          <w:ilvl w:val="0"/>
          <w:numId w:val="45"/>
        </w:numPr>
        <w:spacing w:after="0"/>
        <w:rPr>
          <w:rFonts w:eastAsia="Times New Roman"/>
        </w:rPr>
      </w:pPr>
      <w:r>
        <w:t xml:space="preserve">zníženie energetickej náročnosti objektov MŠ, ZŠ, </w:t>
      </w:r>
    </w:p>
    <w:p w:rsidR="00332909" w:rsidRDefault="00332909" w:rsidP="00C90BE5">
      <w:pPr>
        <w:pStyle w:val="Odsekzoznamu"/>
        <w:numPr>
          <w:ilvl w:val="0"/>
          <w:numId w:val="45"/>
        </w:numPr>
        <w:spacing w:after="0"/>
        <w:rPr>
          <w:rFonts w:eastAsia="Times New Roman"/>
        </w:rPr>
      </w:pPr>
      <w:r>
        <w:t>budovanie odborných a polytechnických učební a dielní.</w:t>
      </w:r>
    </w:p>
    <w:p w:rsidR="00332909" w:rsidRPr="00C90BE5" w:rsidRDefault="00C90BE5" w:rsidP="00C90BE5">
      <w:pPr>
        <w:spacing w:after="0"/>
        <w:rPr>
          <w:rFonts w:eastAsia="Times New Roman"/>
        </w:rPr>
      </w:pPr>
      <w:r>
        <w:t>V</w:t>
      </w:r>
      <w:r w:rsidR="00332909">
        <w:t>ýhľadová hodnota rozšírenia kapacít MŠ bude 21 miest</w:t>
      </w:r>
      <w:r>
        <w:t>.</w:t>
      </w:r>
    </w:p>
    <w:p w:rsidR="00332909" w:rsidRDefault="00332909" w:rsidP="00332909">
      <w:pPr>
        <w:pStyle w:val="Odsekzoznamu"/>
        <w:spacing w:after="0"/>
        <w:ind w:left="786"/>
        <w:rPr>
          <w:rFonts w:eastAsia="Times New Roman"/>
        </w:rPr>
      </w:pPr>
    </w:p>
    <w:tbl>
      <w:tblPr>
        <w:tblStyle w:val="TableNormal"/>
        <w:tblW w:w="880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789"/>
        <w:gridCol w:w="5016"/>
      </w:tblGrid>
      <w:tr w:rsidR="00332909" w:rsidTr="00332909">
        <w:trPr>
          <w:trHeight w:val="285"/>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C5E6A" w:rsidRDefault="00332909" w:rsidP="00F1665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IROP, OP ĽZ</w:t>
            </w:r>
            <w:r w:rsidR="00F16657">
              <w:rPr>
                <w:rFonts w:ascii="Times New Roman" w:hAnsi="Times New Roman" w:cs="Times New Roman"/>
              </w:rPr>
              <w:t xml:space="preserve"> resp. </w:t>
            </w:r>
            <w:r w:rsidR="00A41D18">
              <w:rPr>
                <w:rFonts w:ascii="Times New Roman" w:hAnsi="Times New Roman" w:cs="Times New Roman"/>
              </w:rPr>
              <w:t xml:space="preserve">ich </w:t>
            </w:r>
            <w:r w:rsidR="00F16657">
              <w:rPr>
                <w:rFonts w:ascii="Times New Roman" w:hAnsi="Times New Roman" w:cs="Times New Roman"/>
              </w:rPr>
              <w:t>ekvivalenty v rámci programového obdobia 2020+</w:t>
            </w:r>
          </w:p>
          <w:p w:rsidR="00332909" w:rsidRDefault="00332909" w:rsidP="00F1665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MŠVVaŠ SR, RP, vlastné zdroje</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800 tis. eur</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30 tis. eur</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CA7EBD">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760 tis. eur</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5</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 ZŠ s MŠ, MŠ, občianske združenia</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lastRenderedPageBreak/>
              <w:t>Partneri:</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744"/>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Účel RP:</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909" w:rsidRDefault="00332909" w:rsidP="00C90BE5">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realizácia nových stavieb, rekonštrukcia budov, stavebné úpravy, nákup vybavenia, zariadenia a iné výdavky súvisiace s realizáciou projektov v rámci opatrenia</w:t>
            </w:r>
          </w:p>
        </w:tc>
      </w:tr>
      <w:tr w:rsidR="00332909" w:rsidTr="00332909">
        <w:trPr>
          <w:trHeight w:val="133"/>
        </w:trPr>
        <w:tc>
          <w:tcPr>
            <w:tcW w:w="3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Prijímateľ RP:</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highlight w:val="yellow"/>
              </w:rPr>
            </w:pPr>
            <w:r>
              <w:rPr>
                <w:rFonts w:ascii="Times New Roman" w:hAnsi="Times New Roman" w:cs="Times New Roman"/>
                <w:color w:val="auto"/>
              </w:rPr>
              <w:t>subjekty územnej spolupráce, iné právnické osoby a fyzické osoby - podnikatelia</w:t>
            </w:r>
          </w:p>
        </w:tc>
      </w:tr>
    </w:tbl>
    <w:p w:rsidR="00332909" w:rsidRDefault="00332909" w:rsidP="00332909">
      <w:pPr>
        <w:pStyle w:val="Nadpis3"/>
        <w:rPr>
          <w:rFonts w:eastAsia="Times New Roman" w:cs="Times New Roman"/>
        </w:rPr>
      </w:pPr>
      <w:bookmarkStart w:id="60" w:name="_Toc511211876"/>
      <w:bookmarkStart w:id="61" w:name="_Toc517084351"/>
      <w:r>
        <w:rPr>
          <w:rFonts w:eastAsia="Times New Roman" w:cs="Times New Roman"/>
        </w:rPr>
        <w:t>Opatrenie C.2. Podpora stredoškolských centier prípravy a adaptácie na budúce povolanie, vytvorenie podmienok pre adaptáciu pracovnej sily podľa požiadaviek na trhu práce</w:t>
      </w:r>
      <w:bookmarkEnd w:id="60"/>
      <w:bookmarkEnd w:id="61"/>
    </w:p>
    <w:p w:rsidR="00332909" w:rsidRDefault="00332909" w:rsidP="00332909">
      <w:pPr>
        <w:rPr>
          <w:rFonts w:cs="Times New Roman"/>
        </w:rPr>
      </w:pPr>
      <w:r>
        <w:rPr>
          <w:rFonts w:cs="Times New Roman"/>
        </w:rPr>
        <w:t>Cieľom opatrenia je podpora centra prípravy na budúce povolanie, vybudovanie tréningových centier pre nekvalifikovanú pracovnú silu podľa požiadaviek trhu práce v spolupráci so strednými odbornými školami v okrese, so zamestnávateľmi a ÚPSVaR, podpora odborného vzdelávania vychádzajúc z reálnych potrieb trhu.</w:t>
      </w:r>
    </w:p>
    <w:p w:rsidR="00332909" w:rsidRDefault="00332909" w:rsidP="00332909">
      <w:pPr>
        <w:rPr>
          <w:rFonts w:eastAsia="Times New Roman" w:cs="Times New Roman"/>
        </w:rPr>
      </w:pPr>
      <w:r>
        <w:rPr>
          <w:rFonts w:cs="Times New Roman"/>
        </w:rPr>
        <w:t xml:space="preserve">Opatrenie vychádza zo skutočnosti, že v okrese je zaznamenávaný nedostatok kvalifikovanej pracovnej sily a existencia voľných pracovných miest predovšetkým v strojárskej výrobe. Cieľom opatrenia je riešiť nepomer medzi nedostatkom kvalifikovanej pracovnej sily v strojárskych organizáciách a veľkou nezamestnanosťou v regióne. Jedným z riešení je vybudovanie centra prípravy na budúce povolanie, vybudovanie tréningových a školiacich centier, IT centra.  </w:t>
      </w:r>
    </w:p>
    <w:p w:rsidR="00332909" w:rsidRDefault="00332909" w:rsidP="00332909">
      <w:pPr>
        <w:rPr>
          <w:rFonts w:cs="Times New Roman"/>
        </w:rPr>
      </w:pPr>
      <w:r>
        <w:rPr>
          <w:rFonts w:cs="Times New Roman"/>
        </w:rPr>
        <w:t>V rámci opatrenia budú podporené aktivity zamerané na:</w:t>
      </w:r>
    </w:p>
    <w:p w:rsidR="00332909" w:rsidRDefault="00332909" w:rsidP="00C90BE5">
      <w:pPr>
        <w:pStyle w:val="Odsekzoznamu"/>
        <w:numPr>
          <w:ilvl w:val="0"/>
          <w:numId w:val="46"/>
        </w:numPr>
        <w:spacing w:after="0"/>
      </w:pPr>
      <w:r>
        <w:t xml:space="preserve">podpora vzdelávacích programov na získanie nižšieho stredného vzdelávania, </w:t>
      </w:r>
    </w:p>
    <w:p w:rsidR="00332909" w:rsidRDefault="00332909" w:rsidP="00C90BE5">
      <w:pPr>
        <w:pStyle w:val="Odsekzoznamu"/>
        <w:numPr>
          <w:ilvl w:val="0"/>
          <w:numId w:val="46"/>
        </w:numPr>
        <w:tabs>
          <w:tab w:val="left" w:pos="720"/>
        </w:tabs>
        <w:spacing w:after="0"/>
        <w:rPr>
          <w:rFonts w:eastAsia="Times New Roman"/>
        </w:rPr>
      </w:pPr>
      <w:r>
        <w:t xml:space="preserve">obstaranie vybavenia, strojov, zariadení a IKT, </w:t>
      </w:r>
    </w:p>
    <w:p w:rsidR="001B1248" w:rsidRPr="001B1248" w:rsidRDefault="00332909" w:rsidP="00C90BE5">
      <w:pPr>
        <w:pStyle w:val="Odsekzoznamu"/>
        <w:numPr>
          <w:ilvl w:val="0"/>
          <w:numId w:val="46"/>
        </w:numPr>
        <w:spacing w:after="240"/>
        <w:rPr>
          <w:rFonts w:eastAsia="Times New Roman"/>
        </w:rPr>
      </w:pPr>
      <w:r>
        <w:t>nevyhnutné stavebné úpravy súvisiace so zriadením centier a modernizáciou odborných učební</w:t>
      </w:r>
    </w:p>
    <w:p w:rsidR="00332909" w:rsidRPr="001B1248" w:rsidRDefault="001B1248" w:rsidP="001B1248">
      <w:pPr>
        <w:pStyle w:val="Odsekzoznamu"/>
        <w:numPr>
          <w:ilvl w:val="0"/>
          <w:numId w:val="46"/>
        </w:numPr>
        <w:rPr>
          <w:rFonts w:eastAsia="Times New Roman"/>
        </w:rPr>
      </w:pPr>
      <w:r>
        <w:rPr>
          <w:rFonts w:ascii="Times" w:hAnsi="Times" w:cs="Times"/>
          <w:sz w:val="21"/>
          <w:szCs w:val="25"/>
        </w:rPr>
        <w:t>aktivizácia a adaptácia</w:t>
      </w:r>
      <w:r w:rsidRPr="009F01E8">
        <w:rPr>
          <w:rFonts w:ascii="Times" w:hAnsi="Times" w:cs="Times"/>
          <w:sz w:val="21"/>
          <w:szCs w:val="25"/>
        </w:rPr>
        <w:t xml:space="preserve"> dostupnej pracovnej sily</w:t>
      </w:r>
      <w:r>
        <w:rPr>
          <w:rFonts w:ascii="Times" w:hAnsi="Times" w:cs="Times"/>
          <w:sz w:val="21"/>
          <w:szCs w:val="25"/>
        </w:rPr>
        <w:t xml:space="preserve"> </w:t>
      </w:r>
      <w:r w:rsidRPr="009F01E8">
        <w:rPr>
          <w:rFonts w:ascii="Times" w:hAnsi="Times" w:cs="Times"/>
          <w:sz w:val="21"/>
          <w:szCs w:val="25"/>
        </w:rPr>
        <w:t xml:space="preserve">v okrese Bardejov </w:t>
      </w:r>
      <w:r>
        <w:rPr>
          <w:rFonts w:ascii="Times" w:hAnsi="Times" w:cs="Times"/>
          <w:sz w:val="21"/>
          <w:szCs w:val="25"/>
        </w:rPr>
        <w:t xml:space="preserve">so </w:t>
      </w:r>
      <w:r w:rsidRPr="009F01E8">
        <w:rPr>
          <w:rFonts w:ascii="Times" w:hAnsi="Times" w:cs="Times"/>
          <w:sz w:val="21"/>
          <w:szCs w:val="25"/>
        </w:rPr>
        <w:t>zameran</w:t>
      </w:r>
      <w:r>
        <w:rPr>
          <w:rFonts w:ascii="Times" w:hAnsi="Times" w:cs="Times"/>
          <w:sz w:val="21"/>
          <w:szCs w:val="25"/>
        </w:rPr>
        <w:t>ím</w:t>
      </w:r>
      <w:r w:rsidRPr="009F01E8">
        <w:rPr>
          <w:rFonts w:ascii="Times" w:hAnsi="Times" w:cs="Times"/>
          <w:sz w:val="21"/>
          <w:szCs w:val="25"/>
        </w:rPr>
        <w:t xml:space="preserve">  na zlepšenie postavenia uchádzačov o zamestnanie (UoZ) na trhu práce, zvýšenie zamestnateľnosti a zamestnanosti UoZ a znevýhodnených UoZ</w:t>
      </w:r>
      <w:r w:rsidR="00332909">
        <w:t>.</w:t>
      </w:r>
    </w:p>
    <w:p w:rsidR="00332909" w:rsidRPr="00C90BE5" w:rsidRDefault="00C90BE5" w:rsidP="00C90BE5">
      <w:pPr>
        <w:spacing w:after="240"/>
        <w:rPr>
          <w:rFonts w:eastAsia="Times New Roman"/>
        </w:rPr>
      </w:pPr>
      <w:r>
        <w:rPr>
          <w:rFonts w:eastAsia="Times New Roman"/>
        </w:rPr>
        <w:t>V</w:t>
      </w:r>
      <w:r w:rsidR="00332909" w:rsidRPr="00C90BE5">
        <w:rPr>
          <w:rFonts w:eastAsia="Times New Roman"/>
        </w:rPr>
        <w:t>ýhľadová hodnota je realizácia 6 nových stredísk vzdelávania</w:t>
      </w:r>
    </w:p>
    <w:tbl>
      <w:tblPr>
        <w:tblStyle w:val="TableNormal"/>
        <w:tblW w:w="904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096"/>
        <w:gridCol w:w="4949"/>
      </w:tblGrid>
      <w:tr w:rsidR="00332909" w:rsidTr="00332909">
        <w:trPr>
          <w:trHeight w:val="303"/>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1767C" w:rsidRDefault="00D64D31" w:rsidP="00F1665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IROP</w:t>
            </w:r>
            <w:r w:rsidR="0041767C">
              <w:rPr>
                <w:rFonts w:ascii="Times New Roman" w:hAnsi="Times New Roman" w:cs="Times New Roman"/>
                <w:color w:val="auto"/>
              </w:rPr>
              <w:t>,</w:t>
            </w:r>
            <w:r w:rsidR="00CA7EBD">
              <w:rPr>
                <w:rFonts w:ascii="Times New Roman" w:hAnsi="Times New Roman" w:cs="Times New Roman"/>
              </w:rPr>
              <w:t xml:space="preserve"> </w:t>
            </w:r>
            <w:r w:rsidR="00F16657">
              <w:rPr>
                <w:rFonts w:ascii="Times New Roman" w:hAnsi="Times New Roman" w:cs="Times New Roman"/>
              </w:rPr>
              <w:t>resp.</w:t>
            </w:r>
            <w:r w:rsidR="00CA7EBD">
              <w:rPr>
                <w:rFonts w:ascii="Times New Roman" w:hAnsi="Times New Roman" w:cs="Times New Roman"/>
              </w:rPr>
              <w:t xml:space="preserve"> ekvivalent v rámci programového obdobia 2020+</w:t>
            </w:r>
          </w:p>
          <w:p w:rsidR="00332909" w:rsidRDefault="00332909" w:rsidP="00F1665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VÚC, RP, vlastné zdroje</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w:t>
            </w:r>
            <w:r>
              <w:rPr>
                <w:rFonts w:ascii="Times New Roman" w:eastAsia="Times New Roman" w:hAnsi="Times New Roman" w:cs="Times New Roman"/>
                <w:color w:val="auto"/>
                <w:bdr w:val="none" w:sz="0" w:space="0" w:color="auto" w:frame="1"/>
                <w:lang w:val="pl-PL" w:eastAsia="en-US"/>
              </w:rPr>
              <w:t xml:space="preserve">1 912 000 </w:t>
            </w:r>
            <w:r>
              <w:rPr>
                <w:rFonts w:ascii="Times New Roman" w:hAnsi="Times New Roman" w:cs="Times New Roman"/>
                <w:color w:val="auto"/>
              </w:rPr>
              <w:t>eur</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výška RP: </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372 tis. eur</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1 540 tis. eur</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30</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Stredné odborné školy v okrese a ďalšie vzdelávacie inštitúcie okresu.</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Partneri:</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Prešovský samosprávny kraj </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lastRenderedPageBreak/>
              <w:t>Termín:</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356"/>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Účel RP:</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obstaranie nevyhnutného zariadenia, vybavenia, nevyhnutných stavebných úprav a iné výdavky súvisiace so zriadením a vybudovaním centra prípravy na budúce povolanie, tréningových centier, IT centra a vybavením odborných učební a iné výdavky súvisiace s realizáciou projektov v rámci opatrenia</w:t>
            </w:r>
          </w:p>
        </w:tc>
      </w:tr>
      <w:tr w:rsidR="00332909" w:rsidTr="00332909">
        <w:trPr>
          <w:trHeight w:val="141"/>
        </w:trPr>
        <w:tc>
          <w:tcPr>
            <w:tcW w:w="4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Prijímateľ RP:</w:t>
            </w:r>
          </w:p>
        </w:tc>
        <w:tc>
          <w:tcPr>
            <w:tcW w:w="4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highlight w:val="yellow"/>
              </w:rPr>
            </w:pPr>
            <w:r>
              <w:rPr>
                <w:rFonts w:ascii="Times New Roman" w:hAnsi="Times New Roman" w:cs="Times New Roman"/>
                <w:color w:val="auto"/>
              </w:rPr>
              <w:t>subjekty územnej spolupráce, iné právnické osoby a fyzické osoby - podnikatelia</w:t>
            </w:r>
          </w:p>
        </w:tc>
      </w:tr>
    </w:tbl>
    <w:p w:rsidR="00332909" w:rsidRDefault="00332909" w:rsidP="00332909">
      <w:pPr>
        <w:pStyle w:val="Nadpis3"/>
        <w:rPr>
          <w:rFonts w:eastAsia="Times New Roman" w:cs="Times New Roman"/>
        </w:rPr>
      </w:pPr>
      <w:bookmarkStart w:id="62" w:name="_Toc511211878"/>
      <w:bookmarkStart w:id="63" w:name="_Toc517084352"/>
      <w:r>
        <w:rPr>
          <w:rFonts w:eastAsia="Times New Roman" w:cs="Times New Roman"/>
        </w:rPr>
        <w:t>Opatrenie C.3. Podpora sociálnej ekonomiky a lokálnej zamestnanosti pre adaptáciu nízko kvalifikovanej pracovnej sily</w:t>
      </w:r>
      <w:bookmarkEnd w:id="62"/>
      <w:bookmarkEnd w:id="63"/>
    </w:p>
    <w:p w:rsidR="00332909" w:rsidRDefault="00332909" w:rsidP="00332909">
      <w:pPr>
        <w:rPr>
          <w:rFonts w:cs="Times New Roman"/>
        </w:rPr>
      </w:pPr>
      <w:r>
        <w:rPr>
          <w:rFonts w:cs="Times New Roman"/>
        </w:rPr>
        <w:t>Cieľom opatrenia je podpora vzniku podnikov, ktoré budú zamerané na vytváranie nových pracovných miest v sociálnej ekonomike, alebo podporujúcimi lokálnu zamestnanosť s dôrazom na zamestnávanie znevýhodnených uchádzačov o zamestnanie v spolupráci s obcami, neziskovými organizáciami a ÚPSVaR vo vybratých obciach okresu Bardejov.</w:t>
      </w:r>
    </w:p>
    <w:p w:rsidR="00332909" w:rsidRDefault="00332909" w:rsidP="00332909">
      <w:pPr>
        <w:rPr>
          <w:rFonts w:eastAsia="Times New Roman" w:cs="Times New Roman"/>
        </w:rPr>
      </w:pPr>
      <w:r>
        <w:rPr>
          <w:rFonts w:cs="Times New Roman"/>
        </w:rPr>
        <w:t>Činnosť podnikov bude zameraná napr. na údržbu miestnych komunikácii, verejných priestranstiev, lesných ciest, drobné práce v stavebníctve, realizáciu protipovodňových opatrení, čistenie vodných tokov, odstraňovanie inváznych druhov rastlín, zhodnocovanie biologicky rozložiteľného materiálu, spracovanie dreveného odpadu, triedenie odpadov a nakladanie s ním a pod.</w:t>
      </w:r>
    </w:p>
    <w:p w:rsidR="00332909" w:rsidRDefault="00332909" w:rsidP="00332909">
      <w:pPr>
        <w:rPr>
          <w:rFonts w:cs="Times New Roman"/>
        </w:rPr>
      </w:pPr>
    </w:p>
    <w:p w:rsidR="00332909" w:rsidRDefault="00332909" w:rsidP="00332909">
      <w:pPr>
        <w:rPr>
          <w:rFonts w:cs="Times New Roman"/>
        </w:rPr>
      </w:pPr>
      <w:r>
        <w:rPr>
          <w:rFonts w:cs="Times New Roman"/>
        </w:rPr>
        <w:t>V rámci opatrenia budú podporené aktivity zamerané na:</w:t>
      </w:r>
    </w:p>
    <w:p w:rsidR="00332909" w:rsidRDefault="00332909" w:rsidP="00C90BE5">
      <w:pPr>
        <w:pStyle w:val="Odsekzoznamu"/>
        <w:numPr>
          <w:ilvl w:val="0"/>
          <w:numId w:val="47"/>
        </w:numPr>
        <w:rPr>
          <w:rFonts w:eastAsia="Times New Roman"/>
        </w:rPr>
      </w:pPr>
      <w:r>
        <w:rPr>
          <w:rFonts w:eastAsia="Times New Roman"/>
        </w:rPr>
        <w:t>vznik nových, vybavenie a chod sociálneho podniku, obecného podniku,</w:t>
      </w:r>
    </w:p>
    <w:p w:rsidR="009F01E8" w:rsidRDefault="00332909" w:rsidP="009F01E8">
      <w:pPr>
        <w:pStyle w:val="Odsekzoznamu"/>
        <w:numPr>
          <w:ilvl w:val="0"/>
          <w:numId w:val="47"/>
        </w:numPr>
        <w:rPr>
          <w:rFonts w:eastAsia="Times New Roman"/>
        </w:rPr>
      </w:pPr>
      <w:r>
        <w:rPr>
          <w:rFonts w:eastAsia="Times New Roman"/>
        </w:rPr>
        <w:t>mzdové výdavky</w:t>
      </w:r>
    </w:p>
    <w:p w:rsidR="00332909" w:rsidRPr="009F01E8" w:rsidRDefault="009F01E8" w:rsidP="001B1248">
      <w:pPr>
        <w:pStyle w:val="Odsekzoznamu"/>
        <w:numPr>
          <w:ilvl w:val="0"/>
          <w:numId w:val="47"/>
        </w:numPr>
        <w:rPr>
          <w:rFonts w:eastAsia="Times New Roman"/>
        </w:rPr>
      </w:pPr>
      <w:r>
        <w:rPr>
          <w:rFonts w:ascii="Times" w:hAnsi="Times" w:cs="Times"/>
          <w:sz w:val="21"/>
          <w:szCs w:val="25"/>
        </w:rPr>
        <w:t>aktivizácia a adaptácia</w:t>
      </w:r>
      <w:r w:rsidRPr="009F01E8">
        <w:rPr>
          <w:rFonts w:ascii="Times" w:hAnsi="Times" w:cs="Times"/>
          <w:sz w:val="21"/>
          <w:szCs w:val="25"/>
        </w:rPr>
        <w:t xml:space="preserve"> dostupnej pracovnej sily</w:t>
      </w:r>
      <w:r>
        <w:rPr>
          <w:rFonts w:ascii="Times" w:hAnsi="Times" w:cs="Times"/>
          <w:sz w:val="21"/>
          <w:szCs w:val="25"/>
        </w:rPr>
        <w:t xml:space="preserve"> </w:t>
      </w:r>
      <w:r w:rsidRPr="009F01E8">
        <w:rPr>
          <w:rFonts w:ascii="Times" w:hAnsi="Times" w:cs="Times"/>
          <w:sz w:val="21"/>
          <w:szCs w:val="25"/>
        </w:rPr>
        <w:t xml:space="preserve">v okrese Bardejov </w:t>
      </w:r>
      <w:r>
        <w:rPr>
          <w:rFonts w:ascii="Times" w:hAnsi="Times" w:cs="Times"/>
          <w:sz w:val="21"/>
          <w:szCs w:val="25"/>
        </w:rPr>
        <w:t xml:space="preserve">so </w:t>
      </w:r>
      <w:r w:rsidRPr="009F01E8">
        <w:rPr>
          <w:rFonts w:ascii="Times" w:hAnsi="Times" w:cs="Times"/>
          <w:sz w:val="21"/>
          <w:szCs w:val="25"/>
        </w:rPr>
        <w:t>zameran</w:t>
      </w:r>
      <w:r>
        <w:rPr>
          <w:rFonts w:ascii="Times" w:hAnsi="Times" w:cs="Times"/>
          <w:sz w:val="21"/>
          <w:szCs w:val="25"/>
        </w:rPr>
        <w:t>ím</w:t>
      </w:r>
      <w:r w:rsidRPr="009F01E8">
        <w:rPr>
          <w:rFonts w:ascii="Times" w:hAnsi="Times" w:cs="Times"/>
          <w:sz w:val="21"/>
          <w:szCs w:val="25"/>
        </w:rPr>
        <w:t xml:space="preserve">  na zlepšenie postavenia uchádzačov o zamestnanie (UoZ) na trhu práce, zvýšenie zamestnateľnosti a zamestnanosti UoZ a znevýhodnených UoZ</w:t>
      </w:r>
      <w:r w:rsidR="00332909" w:rsidRPr="009F01E8">
        <w:rPr>
          <w:rFonts w:eastAsia="Times New Roman"/>
        </w:rPr>
        <w:t>.</w:t>
      </w:r>
    </w:p>
    <w:p w:rsidR="00332909" w:rsidRPr="00C90BE5" w:rsidRDefault="00C90BE5" w:rsidP="00C90BE5">
      <w:pPr>
        <w:spacing w:after="240"/>
        <w:rPr>
          <w:rFonts w:eastAsia="Times New Roman"/>
        </w:rPr>
      </w:pPr>
      <w:r>
        <w:rPr>
          <w:rFonts w:eastAsia="Times New Roman"/>
        </w:rPr>
        <w:t>P</w:t>
      </w:r>
      <w:r w:rsidR="00332909" w:rsidRPr="00C90BE5">
        <w:rPr>
          <w:rFonts w:eastAsia="Times New Roman"/>
        </w:rPr>
        <w:t>redpokladaná výhľadová hodnota je vznik 4 nových s</w:t>
      </w:r>
      <w:r>
        <w:rPr>
          <w:rFonts w:eastAsia="Times New Roman"/>
        </w:rPr>
        <w:t>ociálnych podnikov.</w:t>
      </w:r>
    </w:p>
    <w:tbl>
      <w:tblPr>
        <w:tblStyle w:val="TableNormal"/>
        <w:tblW w:w="88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041"/>
        <w:gridCol w:w="5809"/>
      </w:tblGrid>
      <w:tr w:rsidR="00332909" w:rsidTr="00332909">
        <w:trPr>
          <w:trHeight w:val="459"/>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C5E6A" w:rsidRDefault="006C5E6A"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RP, vlastné zdroje, SIH</w:t>
            </w:r>
          </w:p>
          <w:p w:rsidR="00332909" w:rsidRDefault="00332909"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OPĽZ</w:t>
            </w:r>
            <w:r w:rsidR="00CA7EBD">
              <w:rPr>
                <w:rFonts w:ascii="Times New Roman" w:hAnsi="Times New Roman" w:cs="Times New Roman"/>
              </w:rPr>
              <w:t xml:space="preserve"> </w:t>
            </w:r>
            <w:r w:rsidR="00A41D18">
              <w:rPr>
                <w:rFonts w:ascii="Times New Roman" w:hAnsi="Times New Roman" w:cs="Times New Roman"/>
              </w:rPr>
              <w:t>resp.</w:t>
            </w:r>
            <w:r w:rsidR="00CA7EBD">
              <w:rPr>
                <w:rFonts w:ascii="Times New Roman" w:hAnsi="Times New Roman" w:cs="Times New Roman"/>
              </w:rPr>
              <w:t xml:space="preserve"> ekvivalent v rámci programového obdobia 2020+</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7 462 900</w:t>
            </w:r>
            <w:r>
              <w:rPr>
                <w:rFonts w:ascii="Times New Roman" w:hAnsi="Times New Roman" w:cs="Times New Roman"/>
                <w:color w:val="auto"/>
                <w:lang w:val="pl-PL"/>
              </w:rPr>
              <w:t xml:space="preserve"> </w:t>
            </w:r>
            <w:r>
              <w:rPr>
                <w:rFonts w:ascii="Times New Roman" w:hAnsi="Times New Roman" w:cs="Times New Roman"/>
                <w:color w:val="auto"/>
              </w:rPr>
              <w:t>eur</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555 tis. eur</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6 407 tis. eur</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62</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 občianske združenia, podnikateľské subjekty</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Partneri:</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r w:rsidR="00575EFB">
              <w:rPr>
                <w:rFonts w:ascii="Times New Roman" w:hAnsi="Times New Roman" w:cs="Times New Roman"/>
                <w:color w:val="auto"/>
              </w:rPr>
              <w:t>, ÚPSVaR</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550"/>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lastRenderedPageBreak/>
              <w:t>Účel RP:</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mzdové výdavky, obstaranie nevyhnutnej techniky, strojov a zariadení súvisiacich bezprostredne s činnosťou subjektov sociálnej ekonomiky a subjektov lokálnej zamestnanosti a iné výdavky súvisiace s realizáciou projektov v rámci opatrenia</w:t>
            </w:r>
          </w:p>
        </w:tc>
      </w:tr>
      <w:tr w:rsidR="00332909" w:rsidTr="00332909">
        <w:trPr>
          <w:trHeight w:val="214"/>
        </w:trPr>
        <w:tc>
          <w:tcPr>
            <w:tcW w:w="3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Prijímateľ RP:</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subjekty územnej spolupráce, iné právnické osoby a fyzické osoby - podnikatelia</w:t>
            </w:r>
          </w:p>
        </w:tc>
      </w:tr>
    </w:tbl>
    <w:p w:rsidR="00575EFB" w:rsidRDefault="00575EFB" w:rsidP="00332909">
      <w:pPr>
        <w:rPr>
          <w:lang w:eastAsia="sk-SK"/>
        </w:rPr>
      </w:pPr>
      <w:bookmarkStart w:id="64" w:name="_Toc511211879"/>
      <w:bookmarkStart w:id="65" w:name="_Toc6"/>
    </w:p>
    <w:p w:rsidR="00332909" w:rsidRDefault="00332909" w:rsidP="00332909">
      <w:pPr>
        <w:pStyle w:val="Nadpis2"/>
        <w:rPr>
          <w:rFonts w:eastAsia="Times New Roman" w:cs="Times New Roman"/>
          <w:sz w:val="22"/>
          <w:szCs w:val="22"/>
        </w:rPr>
      </w:pPr>
      <w:bookmarkStart w:id="66" w:name="_Toc517084353"/>
      <w:r>
        <w:rPr>
          <w:rFonts w:cs="Times New Roman"/>
          <w:sz w:val="22"/>
          <w:szCs w:val="22"/>
        </w:rPr>
        <w:t>D. Prioritná oblasť - budovanie infraštruktúry, zvýšenie kvality a dostupnosti služieb</w:t>
      </w:r>
      <w:bookmarkEnd w:id="64"/>
      <w:bookmarkEnd w:id="65"/>
      <w:bookmarkEnd w:id="66"/>
    </w:p>
    <w:p w:rsidR="00332909" w:rsidRDefault="00332909" w:rsidP="00332909">
      <w:pPr>
        <w:rPr>
          <w:rFonts w:eastAsia="Times New Roman" w:cs="Times New Roman"/>
        </w:rPr>
      </w:pPr>
      <w:r>
        <w:rPr>
          <w:rFonts w:cs="Times New Roman"/>
          <w:b/>
          <w:bCs/>
        </w:rPr>
        <w:t>Zlepšenie dostupnosti okresu a dostupnosti trhu práce.</w:t>
      </w:r>
      <w:r>
        <w:rPr>
          <w:rFonts w:cs="Times New Roman"/>
        </w:rPr>
        <w:t xml:space="preserve"> Táto prioritná oblasť zahŕňa výstavbu, modernizáciu a rekonštrukciu dopravnej a technickej infraštruktúry, základnej infraštruktúry miest a obcí, zdravotnej infraštruktúry,</w:t>
      </w:r>
      <w:r w:rsidR="00490368">
        <w:rPr>
          <w:rFonts w:cs="Times New Roman"/>
        </w:rPr>
        <w:t xml:space="preserve"> infraštruktúry sociálnych služieb,</w:t>
      </w:r>
      <w:r>
        <w:rPr>
          <w:rFonts w:cs="Times New Roman"/>
        </w:rPr>
        <w:t xml:space="preserve"> budovanie nájomných bytov a bytov nižšieho štandardu, skvalitňovanie občianskej vybavenosti a verejných služieb v prospech obyvateľov, podnikateľského sektora, investorov, ako aj návštevníkov a turistov.</w:t>
      </w:r>
    </w:p>
    <w:p w:rsidR="00332909" w:rsidRDefault="00332909" w:rsidP="00332909">
      <w:pPr>
        <w:pStyle w:val="Nadpis3"/>
        <w:rPr>
          <w:rFonts w:eastAsia="Times New Roman" w:cs="Times New Roman"/>
        </w:rPr>
      </w:pPr>
      <w:bookmarkStart w:id="67" w:name="_Toc511211880"/>
      <w:bookmarkStart w:id="68" w:name="_Toc517084354"/>
      <w:r>
        <w:rPr>
          <w:rFonts w:eastAsia="Times New Roman" w:cs="Times New Roman"/>
        </w:rPr>
        <w:t>Opatrenie D.1. Dopravná infraštruktúra okresu podporujúca ekonomický rozvoj okresu a mobilitu pracovnej sily</w:t>
      </w:r>
      <w:bookmarkEnd w:id="67"/>
      <w:bookmarkEnd w:id="68"/>
    </w:p>
    <w:p w:rsidR="00332909" w:rsidRDefault="00332909" w:rsidP="00332909">
      <w:pPr>
        <w:rPr>
          <w:rFonts w:cs="Times New Roman"/>
        </w:rPr>
      </w:pPr>
      <w:r>
        <w:rPr>
          <w:rFonts w:cs="Times New Roman"/>
        </w:rPr>
        <w:t xml:space="preserve">Cieľom opatrenia je skvalitnenie dopravného napojenia okresu a sprístupnenia stredísk pre cestovný ruch, pre potenciálnych investorov, zamestnávateľov a dobudovanie doplnkového dopravného napojenia. </w:t>
      </w:r>
    </w:p>
    <w:p w:rsidR="00332909" w:rsidRDefault="00332909" w:rsidP="00332909">
      <w:pPr>
        <w:rPr>
          <w:rFonts w:eastAsia="Times New Roman" w:cs="Times New Roman"/>
        </w:rPr>
      </w:pPr>
      <w:r>
        <w:rPr>
          <w:rFonts w:eastAsia="Times New Roman" w:cs="Times New Roman"/>
        </w:rPr>
        <w:t>Predmetom opatrenia je podpora aktivít zameraných predovšetkým na:</w:t>
      </w:r>
    </w:p>
    <w:p w:rsidR="00332909" w:rsidRDefault="00332909" w:rsidP="00C90BE5">
      <w:pPr>
        <w:pStyle w:val="Odsekzoznamu"/>
        <w:numPr>
          <w:ilvl w:val="0"/>
          <w:numId w:val="48"/>
        </w:numPr>
        <w:spacing w:after="0"/>
        <w:rPr>
          <w:rFonts w:eastAsia="Times New Roman"/>
        </w:rPr>
      </w:pPr>
      <w:r>
        <w:t>výstavba a rekonštrukcia miestnych komunikácií a chodníkov</w:t>
      </w:r>
    </w:p>
    <w:p w:rsidR="00332909" w:rsidRDefault="00332909" w:rsidP="00C90BE5">
      <w:pPr>
        <w:pStyle w:val="Odsekzoznamu"/>
        <w:numPr>
          <w:ilvl w:val="0"/>
          <w:numId w:val="48"/>
        </w:numPr>
        <w:spacing w:after="0"/>
        <w:rPr>
          <w:rFonts w:eastAsia="Times New Roman"/>
        </w:rPr>
      </w:pPr>
      <w:r>
        <w:t>výstavba siete mestských a regionálnych cyklotrás</w:t>
      </w:r>
    </w:p>
    <w:p w:rsidR="00332909" w:rsidRDefault="00332909" w:rsidP="00C90BE5">
      <w:pPr>
        <w:pStyle w:val="Odsekzoznamu"/>
        <w:numPr>
          <w:ilvl w:val="0"/>
          <w:numId w:val="48"/>
        </w:numPr>
        <w:spacing w:after="240"/>
      </w:pPr>
      <w:r>
        <w:t>vytvorenie podmienok pre statickú dopravu</w:t>
      </w:r>
    </w:p>
    <w:p w:rsidR="00332909" w:rsidRDefault="00C90BE5" w:rsidP="00C90BE5">
      <w:pPr>
        <w:spacing w:after="240"/>
      </w:pPr>
      <w:r>
        <w:t>P</w:t>
      </w:r>
      <w:r w:rsidR="00332909">
        <w:t>redpokladaná dĺžka nových úsekov cyklistických komunikácii bude cca. 29 000 m</w:t>
      </w:r>
      <w:r>
        <w:t>.</w:t>
      </w:r>
    </w:p>
    <w:tbl>
      <w:tblPr>
        <w:tblStyle w:val="TableNormal"/>
        <w:tblW w:w="89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374"/>
        <w:gridCol w:w="5536"/>
      </w:tblGrid>
      <w:tr w:rsidR="00332909" w:rsidTr="00C90BE5">
        <w:trPr>
          <w:trHeight w:val="234"/>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D64D31">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VÚC, RP, vlastné zdroje</w:t>
            </w:r>
          </w:p>
        </w:tc>
      </w:tr>
      <w:tr w:rsidR="00332909" w:rsidTr="00C90BE5">
        <w:trPr>
          <w:trHeight w:val="30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7 230 000 eur</w:t>
            </w:r>
          </w:p>
        </w:tc>
      </w:tr>
      <w:tr w:rsidR="00332909" w:rsidTr="00C90BE5">
        <w:trPr>
          <w:trHeight w:val="30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výška RP: </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150 tis. eur</w:t>
            </w:r>
          </w:p>
        </w:tc>
      </w:tr>
      <w:tr w:rsidR="00332909" w:rsidTr="00C90BE5">
        <w:trPr>
          <w:trHeight w:val="30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w:t>
            </w:r>
          </w:p>
        </w:tc>
      </w:tr>
      <w:tr w:rsidR="00332909" w:rsidTr="00C90BE5">
        <w:trPr>
          <w:trHeight w:val="30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Počet vytvorených pracovných miest:</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25</w:t>
            </w:r>
          </w:p>
        </w:tc>
      </w:tr>
      <w:tr w:rsidR="00332909" w:rsidTr="00C90BE5">
        <w:trPr>
          <w:trHeight w:val="167"/>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partneri(gestori):</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w:t>
            </w:r>
          </w:p>
        </w:tc>
      </w:tr>
      <w:tr w:rsidR="00332909" w:rsidTr="00C90BE5">
        <w:trPr>
          <w:trHeight w:val="30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Partneri:</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C90BE5">
        <w:trPr>
          <w:trHeight w:val="2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C90BE5">
        <w:trPr>
          <w:trHeight w:val="186"/>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Účel RP:</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stavebné práce súvisiace s rekonštrukciou a budovaním komunikácii  a iné výdavky súvisiace s realizáciou projektov v rámci opatrenia</w:t>
            </w:r>
          </w:p>
        </w:tc>
      </w:tr>
      <w:tr w:rsidR="00332909" w:rsidTr="00C90BE5">
        <w:trPr>
          <w:trHeight w:val="30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Prijímateľ RP:</w:t>
            </w:r>
          </w:p>
        </w:tc>
        <w:tc>
          <w:tcPr>
            <w:tcW w:w="5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subjekty územnej spolupráce, iné právnické osoby a fyzické osoby </w:t>
            </w:r>
            <w:r>
              <w:rPr>
                <w:rFonts w:ascii="Times New Roman" w:hAnsi="Times New Roman" w:cs="Times New Roman"/>
                <w:color w:val="auto"/>
              </w:rPr>
              <w:lastRenderedPageBreak/>
              <w:t>- podnikatelia</w:t>
            </w:r>
          </w:p>
        </w:tc>
      </w:tr>
    </w:tbl>
    <w:p w:rsidR="00332909" w:rsidRDefault="00332909" w:rsidP="00332909">
      <w:pPr>
        <w:pStyle w:val="Nadpis3"/>
        <w:rPr>
          <w:rFonts w:eastAsia="Times New Roman" w:cs="Times New Roman"/>
        </w:rPr>
      </w:pPr>
      <w:bookmarkStart w:id="69" w:name="_Toc511211881"/>
      <w:bookmarkStart w:id="70" w:name="_Toc517084355"/>
      <w:r>
        <w:rPr>
          <w:rFonts w:eastAsia="Times New Roman" w:cs="Times New Roman"/>
        </w:rPr>
        <w:lastRenderedPageBreak/>
        <w:t>Opatrenie D.2. Podpora nájomného bývania, príprava územia pre bytovú výstavbu a podpora výstavby nájomných bytov nižšieho štandardu</w:t>
      </w:r>
      <w:bookmarkEnd w:id="69"/>
      <w:bookmarkEnd w:id="70"/>
    </w:p>
    <w:p w:rsidR="00332909" w:rsidRDefault="00332909" w:rsidP="00332909">
      <w:pPr>
        <w:shd w:val="clear" w:color="auto" w:fill="FFFFFF"/>
        <w:rPr>
          <w:rFonts w:eastAsia="Times New Roman" w:cs="Times New Roman"/>
        </w:rPr>
      </w:pPr>
      <w:r>
        <w:rPr>
          <w:rFonts w:cs="Times New Roman"/>
        </w:rPr>
        <w:t>Podpora a rozvoj bývania v obciach je základným nástrojom samosprávy a štátu na stabilizáciu obyvateľstva a je podporovaná systémovými opatreniami štátu (dotácie, zvýhodnené úvery), ktoré pozostávajú z podpory obstarávania nájomných bytov bežného štandardu formou výstavby alebo kúpy a taktiež je podporovaná výstavba, resp. kúpa prislúchajúcej technickej vybavenosti (vodovod, kanalizácia vrátane ČOV, prístupová komunikácia vrátane parkovísk). Cieľom opatrenia je aj podporiť zlepšovanie bytových podmienok obyvateľov vrátane z MRK v okrese Bardejov, a to zavádzaním systémov prestupného bývania v jednotlivých lokalitách, ako aj podporou konkrétnych krokov: výstavby nájomných bytov nižšieho štandardu a prípravu území za týmto účelom.</w:t>
      </w:r>
    </w:p>
    <w:p w:rsidR="00332909" w:rsidRDefault="00332909" w:rsidP="00332909">
      <w:pPr>
        <w:shd w:val="clear" w:color="auto" w:fill="FFFFFF"/>
        <w:rPr>
          <w:rFonts w:cs="Times New Roman"/>
        </w:rPr>
      </w:pPr>
      <w:r>
        <w:rPr>
          <w:rFonts w:cs="Times New Roman"/>
        </w:rPr>
        <w:t>V rámci opatrenia budú podporené aktivity zamerané na:</w:t>
      </w:r>
    </w:p>
    <w:p w:rsidR="00332909" w:rsidRDefault="00332909" w:rsidP="00C90BE5">
      <w:pPr>
        <w:pStyle w:val="Odsekzoznamu"/>
        <w:numPr>
          <w:ilvl w:val="0"/>
          <w:numId w:val="49"/>
        </w:numPr>
        <w:spacing w:after="0"/>
      </w:pPr>
      <w:r>
        <w:t>výstavbu technickej vybavenosti pre IBV,</w:t>
      </w:r>
    </w:p>
    <w:p w:rsidR="00332909" w:rsidRDefault="00332909" w:rsidP="00C90BE5">
      <w:pPr>
        <w:pStyle w:val="Odsekzoznamu"/>
        <w:numPr>
          <w:ilvl w:val="0"/>
          <w:numId w:val="49"/>
        </w:numPr>
        <w:spacing w:after="0"/>
      </w:pPr>
      <w:r>
        <w:t>výstavbu obecných nájomných bytov,</w:t>
      </w:r>
    </w:p>
    <w:p w:rsidR="00332909" w:rsidRDefault="00332909" w:rsidP="00C90BE5">
      <w:pPr>
        <w:pStyle w:val="Odsekzoznamu"/>
        <w:numPr>
          <w:ilvl w:val="0"/>
          <w:numId w:val="49"/>
        </w:numPr>
        <w:spacing w:after="240"/>
      </w:pPr>
      <w:r>
        <w:t>svojpomocnú výstavby obecných nájomných bytov.</w:t>
      </w:r>
    </w:p>
    <w:p w:rsidR="00332909" w:rsidRDefault="00C90BE5" w:rsidP="00C90BE5">
      <w:pPr>
        <w:spacing w:after="240"/>
      </w:pPr>
      <w:r>
        <w:t>V</w:t>
      </w:r>
      <w:r w:rsidR="00332909">
        <w:t>ýhľadová hodnota vybudovaných sociálnych/nájomných bytov nižšieho štandardu bude 42</w:t>
      </w:r>
      <w:r>
        <w:t>.</w:t>
      </w:r>
      <w:r w:rsidR="00332909">
        <w:t xml:space="preserve"> </w:t>
      </w:r>
    </w:p>
    <w:tbl>
      <w:tblPr>
        <w:tblStyle w:val="TableNormal"/>
        <w:tblW w:w="903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766"/>
        <w:gridCol w:w="5264"/>
      </w:tblGrid>
      <w:tr w:rsidR="00332909" w:rsidTr="00332909">
        <w:trPr>
          <w:trHeight w:val="39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6C5E6A" w:rsidP="006C5E6A">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OP ĽZ</w:t>
            </w:r>
            <w:r>
              <w:rPr>
                <w:rFonts w:ascii="Times New Roman" w:hAnsi="Times New Roman" w:cs="Times New Roman"/>
              </w:rPr>
              <w:t xml:space="preserve"> resp. ekvivalent v rámci programového obdobia 2020+</w:t>
            </w:r>
            <w:r>
              <w:rPr>
                <w:rFonts w:ascii="Times New Roman" w:hAnsi="Times New Roman" w:cs="Times New Roman"/>
                <w:color w:val="auto"/>
              </w:rPr>
              <w:t xml:space="preserve"> štátny rozpočet (MDV SR), ŠFRB, RP, vlastné zdroje</w:t>
            </w:r>
            <w:r w:rsidR="00332909">
              <w:rPr>
                <w:rFonts w:ascii="Times New Roman" w:hAnsi="Times New Roman" w:cs="Times New Roman"/>
                <w:color w:val="auto"/>
              </w:rPr>
              <w:t xml:space="preserve"> </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2 860 000  eur</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50 tis. eur</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35FCD">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1 100 tis. eur</w:t>
            </w:r>
          </w:p>
        </w:tc>
      </w:tr>
      <w:tr w:rsidR="00332909" w:rsidTr="00332909">
        <w:trPr>
          <w:trHeight w:val="317"/>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27</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Partneri:</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332909">
        <w:trPr>
          <w:trHeight w:val="182"/>
        </w:trPr>
        <w:tc>
          <w:tcPr>
            <w:tcW w:w="3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5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subjekty územnej spolupráce, iné právnické osoby a fyzické osoby - podnikatelia</w:t>
            </w:r>
          </w:p>
        </w:tc>
      </w:tr>
    </w:tbl>
    <w:p w:rsidR="00332909" w:rsidRDefault="00332909" w:rsidP="00332909">
      <w:pPr>
        <w:pStyle w:val="Nadpis3"/>
        <w:rPr>
          <w:rFonts w:eastAsia="Times New Roman" w:cs="Times New Roman"/>
        </w:rPr>
      </w:pPr>
      <w:bookmarkStart w:id="71" w:name="_Toc511211882"/>
      <w:bookmarkStart w:id="72" w:name="_Toc517084356"/>
      <w:r>
        <w:rPr>
          <w:rFonts w:eastAsia="Times New Roman" w:cs="Times New Roman"/>
        </w:rPr>
        <w:t>Opatrenie D.3. Podpora budovania integrovaných zdravotníckych a sociálnych zariadení</w:t>
      </w:r>
      <w:bookmarkEnd w:id="71"/>
      <w:bookmarkEnd w:id="72"/>
    </w:p>
    <w:p w:rsidR="00332909" w:rsidRDefault="00332909" w:rsidP="00332909">
      <w:pPr>
        <w:rPr>
          <w:rFonts w:cs="Times New Roman"/>
        </w:rPr>
      </w:pPr>
      <w:r>
        <w:rPr>
          <w:rFonts w:cs="Times New Roman"/>
        </w:rPr>
        <w:t xml:space="preserve">Cieľom opatrenia je poskytovanie zdravotných a sociálnych služieb na požadovanej úrovni podľa potrieb v okrese. Je potrebné sa zamerať na modernizáciu a integráciu zdravotníckej primárnej zdravotníckej starostlivosti, poskytovanie sociálnych služieb na komunitnej úrovni. Zdravotníctvo a taktiež sociálna oblasť predstavujú dôležitých zamestnávateľov v území. </w:t>
      </w:r>
    </w:p>
    <w:p w:rsidR="00332909" w:rsidRDefault="00332909" w:rsidP="00332909">
      <w:pPr>
        <w:rPr>
          <w:rFonts w:cs="Times New Roman"/>
        </w:rPr>
      </w:pPr>
      <w:r>
        <w:rPr>
          <w:rFonts w:cs="Times New Roman"/>
        </w:rPr>
        <w:t>Opatrenie je zamerané predovšetkým na:</w:t>
      </w:r>
    </w:p>
    <w:p w:rsidR="00332909" w:rsidRPr="00C90BE5" w:rsidRDefault="00332909" w:rsidP="00C90BE5">
      <w:pPr>
        <w:pStyle w:val="Odsekzoznamu"/>
        <w:numPr>
          <w:ilvl w:val="0"/>
          <w:numId w:val="50"/>
        </w:numPr>
        <w:ind w:left="567"/>
        <w:rPr>
          <w:rFonts w:eastAsia="Times New Roman"/>
        </w:rPr>
      </w:pPr>
      <w:r w:rsidRPr="00C90BE5">
        <w:rPr>
          <w:rFonts w:eastAsia="Times New Roman"/>
        </w:rPr>
        <w:lastRenderedPageBreak/>
        <w:t>investície do zdravotníckej infraštruktúry, modernizáciu materiálno-technického vybavenia zdravotníckych zariadení,</w:t>
      </w:r>
    </w:p>
    <w:p w:rsidR="00332909" w:rsidRPr="00C90BE5" w:rsidRDefault="00332909" w:rsidP="00C90BE5">
      <w:pPr>
        <w:pStyle w:val="Odsekzoznamu"/>
        <w:numPr>
          <w:ilvl w:val="0"/>
          <w:numId w:val="50"/>
        </w:numPr>
        <w:ind w:left="567"/>
        <w:rPr>
          <w:rFonts w:eastAsia="Times New Roman"/>
        </w:rPr>
      </w:pPr>
      <w:r w:rsidRPr="00C90BE5">
        <w:rPr>
          <w:rFonts w:eastAsia="Times New Roman"/>
        </w:rPr>
        <w:t>stavebno-technické úpravy stavebných objektov vhodných na poskytovanie zdravotníckych alebo sociálnych služieb,</w:t>
      </w:r>
    </w:p>
    <w:p w:rsidR="00332909" w:rsidRPr="00C90BE5" w:rsidRDefault="00332909" w:rsidP="00C90BE5">
      <w:pPr>
        <w:pStyle w:val="Odsekzoznamu"/>
        <w:numPr>
          <w:ilvl w:val="0"/>
          <w:numId w:val="50"/>
        </w:numPr>
        <w:ind w:left="567"/>
        <w:rPr>
          <w:rFonts w:eastAsia="Times New Roman"/>
        </w:rPr>
      </w:pPr>
      <w:r w:rsidRPr="00C90BE5">
        <w:rPr>
          <w:rFonts w:eastAsia="Times New Roman"/>
        </w:rPr>
        <w:t>rozvoj alternatívnych sociálnych služieb komunitného charakteru,</w:t>
      </w:r>
    </w:p>
    <w:p w:rsidR="00332909" w:rsidRPr="00C90BE5" w:rsidRDefault="0068677B" w:rsidP="0068677B">
      <w:pPr>
        <w:pStyle w:val="Odsekzoznamu"/>
        <w:numPr>
          <w:ilvl w:val="0"/>
          <w:numId w:val="50"/>
        </w:numPr>
        <w:ind w:left="567"/>
        <w:rPr>
          <w:rFonts w:eastAsia="Times New Roman"/>
        </w:rPr>
      </w:pPr>
      <w:r w:rsidRPr="0068677B">
        <w:rPr>
          <w:rFonts w:eastAsia="Times New Roman"/>
        </w:rPr>
        <w:t>rekonštrukcia, rozširovanie a modernizácia vhodných stavebných objektov pre vytvorenie podmienok na poskytovanie a zabezpečenie komunitnej starostlivosti v súlade s princípmi deinštitucionalizácie ( napr. domovy sociálnych služieb, zariadenia pre seniorov a pod.)</w:t>
      </w:r>
    </w:p>
    <w:p w:rsidR="00332909" w:rsidRPr="00C90BE5" w:rsidRDefault="00332909" w:rsidP="003E2A77">
      <w:pPr>
        <w:pStyle w:val="Odsekzoznamu"/>
        <w:numPr>
          <w:ilvl w:val="0"/>
          <w:numId w:val="50"/>
        </w:numPr>
        <w:spacing w:after="240"/>
        <w:ind w:left="567"/>
        <w:rPr>
          <w:rFonts w:eastAsia="Times New Roman"/>
        </w:rPr>
      </w:pPr>
      <w:r w:rsidRPr="00C90BE5">
        <w:rPr>
          <w:rFonts w:eastAsia="Times New Roman"/>
        </w:rPr>
        <w:t>investície do stavieb, vrátane materiálno-technického vybavenia, zabezpečujúcich bytovú situáciu klientov, a teda investície do objektov určených najmä pre poskytovanie</w:t>
      </w:r>
      <w:r w:rsidR="0068677B">
        <w:rPr>
          <w:rFonts w:eastAsia="Times New Roman"/>
        </w:rPr>
        <w:t xml:space="preserve"> </w:t>
      </w:r>
      <w:r w:rsidR="0068677B" w:rsidRPr="0068677B">
        <w:rPr>
          <w:rFonts w:eastAsia="Times New Roman"/>
        </w:rPr>
        <w:t>sociálnej služby v zariadení</w:t>
      </w:r>
      <w:r w:rsidRPr="0068677B">
        <w:rPr>
          <w:rFonts w:eastAsia="Times New Roman"/>
        </w:rPr>
        <w:t xml:space="preserve"> </w:t>
      </w:r>
      <w:r w:rsidRPr="00C90BE5">
        <w:rPr>
          <w:rFonts w:eastAsia="Times New Roman"/>
        </w:rPr>
        <w:t>podporovaného bývania, domovov sociálnych služieb</w:t>
      </w:r>
      <w:r w:rsidR="003E2A77" w:rsidRPr="003E2A77">
        <w:t xml:space="preserve"> </w:t>
      </w:r>
      <w:r w:rsidR="003E2A77" w:rsidRPr="003E2A77">
        <w:rPr>
          <w:rFonts w:eastAsia="Times New Roman"/>
        </w:rPr>
        <w:t>s týždennou formou poskytovanej sociálnej služby</w:t>
      </w:r>
      <w:r w:rsidRPr="00C90BE5">
        <w:rPr>
          <w:rFonts w:eastAsia="Times New Roman"/>
        </w:rPr>
        <w:t xml:space="preserve">, zariadení a ďalších aj inovatívnych typov pobytových služieb na komunitnej úrovni. </w:t>
      </w:r>
    </w:p>
    <w:p w:rsidR="00332909" w:rsidRPr="00C90BE5" w:rsidRDefault="00332909" w:rsidP="00C90BE5">
      <w:pPr>
        <w:spacing w:after="240"/>
        <w:rPr>
          <w:rFonts w:eastAsia="Times New Roman"/>
        </w:rPr>
      </w:pPr>
      <w:r w:rsidRPr="00C90BE5">
        <w:rPr>
          <w:rFonts w:eastAsia="Times New Roman"/>
        </w:rPr>
        <w:t>Predpokladá sa so zavedením dvoch a viac nových služieb a s rozšírením kapacít v realizovaných zariadeniach</w:t>
      </w:r>
      <w:r w:rsidR="00C90BE5">
        <w:rPr>
          <w:rFonts w:eastAsia="Times New Roman"/>
        </w:rPr>
        <w:t>.</w:t>
      </w:r>
    </w:p>
    <w:tbl>
      <w:tblPr>
        <w:tblStyle w:val="TableNormal"/>
        <w:tblW w:w="88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374"/>
        <w:gridCol w:w="5476"/>
      </w:tblGrid>
      <w:tr w:rsidR="00332909" w:rsidTr="00C90BE5">
        <w:trPr>
          <w:trHeight w:val="407"/>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A41D18" w:rsidRDefault="00CA7EBD"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IROP, OP ĽZ</w:t>
            </w:r>
            <w:r w:rsidR="005B69D4">
              <w:rPr>
                <w:rFonts w:ascii="Times New Roman" w:hAnsi="Times New Roman" w:cs="Times New Roman"/>
                <w:color w:val="auto"/>
              </w:rPr>
              <w:t>,</w:t>
            </w:r>
            <w:r>
              <w:rPr>
                <w:rFonts w:ascii="Times New Roman" w:hAnsi="Times New Roman" w:cs="Times New Roman"/>
                <w:color w:val="auto"/>
              </w:rPr>
              <w:t xml:space="preserve"> </w:t>
            </w:r>
            <w:r w:rsidR="00A41D18">
              <w:rPr>
                <w:rFonts w:ascii="Times New Roman" w:hAnsi="Times New Roman" w:cs="Times New Roman"/>
              </w:rPr>
              <w:t>resp. ich ekvivalenty v rámci programového obdobia 2020+</w:t>
            </w:r>
            <w:r w:rsidR="00A41D18" w:rsidRPr="002E62CF">
              <w:rPr>
                <w:rFonts w:ascii="Times New Roman" w:hAnsi="Times New Roman" w:cs="Times New Roman"/>
                <w:color w:val="auto"/>
              </w:rPr>
              <w:t>,</w:t>
            </w:r>
          </w:p>
          <w:p w:rsidR="00332909" w:rsidRDefault="00A41D18"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RP, vlastné zdroje,</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 xml:space="preserve">8 262 000 </w:t>
            </w:r>
            <w:r>
              <w:rPr>
                <w:rFonts w:ascii="Times New Roman" w:hAnsi="Times New Roman" w:cs="Times New Roman"/>
                <w:color w:val="auto"/>
              </w:rPr>
              <w:t>eur</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155 tis. eur</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41D18">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A90CA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2 800</w:t>
            </w:r>
            <w:r w:rsidR="00332909">
              <w:rPr>
                <w:rFonts w:ascii="Times New Roman" w:hAnsi="Times New Roman" w:cs="Times New Roman"/>
                <w:color w:val="auto"/>
              </w:rPr>
              <w:t xml:space="preserve">  tis. eur</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112</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Partneri:</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C90BE5">
        <w:trPr>
          <w:trHeight w:val="190"/>
        </w:trPr>
        <w:tc>
          <w:tcPr>
            <w:tcW w:w="3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5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subjekty územnej spolupráce, iné právnické osoby a fyzické osoby - podnikatelia</w:t>
            </w:r>
          </w:p>
        </w:tc>
      </w:tr>
    </w:tbl>
    <w:p w:rsidR="00332909" w:rsidRDefault="00332909" w:rsidP="00332909">
      <w:bookmarkStart w:id="73" w:name="_Toc511211883"/>
    </w:p>
    <w:p w:rsidR="00332909" w:rsidRDefault="00332909" w:rsidP="00332909">
      <w:pPr>
        <w:pStyle w:val="Nadpis3"/>
        <w:rPr>
          <w:rFonts w:eastAsia="Times New Roman" w:cs="Times New Roman"/>
        </w:rPr>
      </w:pPr>
      <w:bookmarkStart w:id="74" w:name="_Toc517084357"/>
      <w:r>
        <w:rPr>
          <w:rFonts w:eastAsia="Times New Roman" w:cs="Times New Roman"/>
        </w:rPr>
        <w:t>Opatrenie D.4. Podpora kultúrno-spoločenskej a športovej infraštruktúry okresu.</w:t>
      </w:r>
      <w:bookmarkEnd w:id="73"/>
      <w:bookmarkEnd w:id="74"/>
      <w:r>
        <w:rPr>
          <w:rFonts w:eastAsia="Times New Roman" w:cs="Times New Roman"/>
        </w:rPr>
        <w:t xml:space="preserve"> </w:t>
      </w:r>
    </w:p>
    <w:p w:rsidR="00332909" w:rsidRDefault="00332909" w:rsidP="00332909">
      <w:pPr>
        <w:rPr>
          <w:rFonts w:cs="Times New Roman"/>
        </w:rPr>
      </w:pPr>
      <w:r>
        <w:rPr>
          <w:rFonts w:cs="Times New Roman"/>
        </w:rPr>
        <w:t xml:space="preserve">Cieľ opatrenia je zameraný na zvýšenie atraktivity územia okresu a vytvorenia doplnkových aktivít pre trávenie voľného času ako dôležitého faktora zlepšenia kvality života obyvateľov okresu Bardejov a vytvorenia možností na vznik nových pracovných miest, ako prostriedok zamedzenia odlivu mladých, vzdelaných ľudí z okresu. </w:t>
      </w:r>
    </w:p>
    <w:p w:rsidR="00332909" w:rsidRDefault="00332909" w:rsidP="00332909">
      <w:pPr>
        <w:rPr>
          <w:rFonts w:eastAsia="Times New Roman" w:cs="Times New Roman"/>
        </w:rPr>
      </w:pPr>
      <w:r>
        <w:rPr>
          <w:rFonts w:cs="Times New Roman"/>
        </w:rPr>
        <w:t>Aktivity opatrenia sú zamerané predovšetkým na:</w:t>
      </w:r>
    </w:p>
    <w:p w:rsidR="00332909" w:rsidRDefault="00332909" w:rsidP="00C90BE5">
      <w:pPr>
        <w:pStyle w:val="Odsekzoznamu"/>
        <w:numPr>
          <w:ilvl w:val="0"/>
          <w:numId w:val="51"/>
        </w:numPr>
        <w:spacing w:after="0"/>
        <w:rPr>
          <w:rFonts w:eastAsia="Times New Roman"/>
        </w:rPr>
      </w:pPr>
      <w:r>
        <w:t>vytvorenie podmienok pre doplnkové vzdelávacie aktivity pre mládež ,</w:t>
      </w:r>
    </w:p>
    <w:p w:rsidR="00332909" w:rsidRDefault="00332909" w:rsidP="00C90BE5">
      <w:pPr>
        <w:pStyle w:val="Odsekzoznamu"/>
        <w:numPr>
          <w:ilvl w:val="0"/>
          <w:numId w:val="51"/>
        </w:numPr>
        <w:spacing w:after="0"/>
        <w:rPr>
          <w:rFonts w:eastAsia="Times New Roman"/>
        </w:rPr>
      </w:pPr>
      <w:r>
        <w:t>investície do zlepšenia stavu objektov kultúrnych domov, objektov, ktoré môžu byť využívané na uskutočňovanie kultúrno-spoločenských podujatí,</w:t>
      </w:r>
    </w:p>
    <w:p w:rsidR="00332909" w:rsidRDefault="00332909" w:rsidP="00C90BE5">
      <w:pPr>
        <w:pStyle w:val="Odsekzoznamu"/>
        <w:numPr>
          <w:ilvl w:val="0"/>
          <w:numId w:val="51"/>
        </w:numPr>
        <w:spacing w:after="240"/>
        <w:rPr>
          <w:rFonts w:eastAsia="Times New Roman"/>
        </w:rPr>
      </w:pPr>
      <w:r>
        <w:lastRenderedPageBreak/>
        <w:t>investície na zabezpečenie vhodného priestoru na uskutočňovanie športových aktivít a potrebného materiálno-technického vybavenia.</w:t>
      </w:r>
    </w:p>
    <w:p w:rsidR="00332909" w:rsidRPr="00C90BE5" w:rsidRDefault="00C90BE5" w:rsidP="00C90BE5">
      <w:pPr>
        <w:spacing w:after="240"/>
        <w:rPr>
          <w:rFonts w:eastAsia="Times New Roman"/>
        </w:rPr>
      </w:pPr>
      <w:r>
        <w:rPr>
          <w:rFonts w:eastAsia="Times New Roman"/>
        </w:rPr>
        <w:t>V</w:t>
      </w:r>
      <w:r w:rsidR="00332909" w:rsidRPr="00C90BE5">
        <w:rPr>
          <w:rFonts w:eastAsia="Times New Roman"/>
        </w:rPr>
        <w:t>ýhľadová plocha zrekonštruovaných verejných budov sa predpokladá na 1</w:t>
      </w:r>
      <w:r>
        <w:rPr>
          <w:rFonts w:eastAsia="Times New Roman"/>
        </w:rPr>
        <w:t> </w:t>
      </w:r>
      <w:r w:rsidR="00332909" w:rsidRPr="00C90BE5">
        <w:rPr>
          <w:rFonts w:eastAsia="Times New Roman"/>
        </w:rPr>
        <w:t>600</w:t>
      </w:r>
      <w:r>
        <w:rPr>
          <w:rFonts w:eastAsia="Times New Roman"/>
        </w:rPr>
        <w:t xml:space="preserve"> </w:t>
      </w:r>
      <w:r w:rsidRPr="00C90BE5">
        <w:rPr>
          <w:rFonts w:eastAsia="Times New Roman"/>
        </w:rPr>
        <w:t>m</w:t>
      </w:r>
      <w:r w:rsidRPr="00C90BE5">
        <w:rPr>
          <w:rFonts w:eastAsia="Times New Roman"/>
          <w:vertAlign w:val="superscript"/>
        </w:rPr>
        <w:t>2</w:t>
      </w:r>
      <w:r>
        <w:rPr>
          <w:rFonts w:eastAsia="Times New Roman"/>
        </w:rPr>
        <w:t>.</w:t>
      </w:r>
      <w:r w:rsidR="00332909" w:rsidRPr="00C90BE5">
        <w:rPr>
          <w:rFonts w:eastAsia="Times New Roman"/>
        </w:rPr>
        <w:t xml:space="preserve"> </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13"/>
        <w:gridCol w:w="5947"/>
      </w:tblGrid>
      <w:tr w:rsidR="00332909" w:rsidTr="00332909">
        <w:trPr>
          <w:trHeight w:val="643"/>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5B69D4" w:rsidRDefault="00CA7EBD"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OP ĽZ</w:t>
            </w:r>
            <w:r w:rsidR="005B69D4">
              <w:rPr>
                <w:rFonts w:ascii="Times New Roman" w:hAnsi="Times New Roman" w:cs="Times New Roman"/>
                <w:color w:val="auto"/>
              </w:rPr>
              <w:t>,</w:t>
            </w:r>
            <w:r>
              <w:rPr>
                <w:rFonts w:ascii="Times New Roman" w:hAnsi="Times New Roman" w:cs="Times New Roman"/>
                <w:color w:val="auto"/>
              </w:rPr>
              <w:t xml:space="preserve"> </w:t>
            </w:r>
            <w:r w:rsidR="00A41D18">
              <w:rPr>
                <w:rFonts w:ascii="Times New Roman" w:hAnsi="Times New Roman" w:cs="Times New Roman"/>
              </w:rPr>
              <w:t>resp.</w:t>
            </w:r>
            <w:r>
              <w:rPr>
                <w:rFonts w:ascii="Times New Roman" w:hAnsi="Times New Roman" w:cs="Times New Roman"/>
              </w:rPr>
              <w:t xml:space="preserve"> ekvivalent v rámci programového obdobia 2020+</w:t>
            </w:r>
          </w:p>
          <w:p w:rsidR="00332909" w:rsidRDefault="006C5E6A" w:rsidP="006C5E6A">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štátny rozpočet (MK SR, MV SR), RP</w:t>
            </w:r>
            <w:r w:rsidRPr="009C2EAE">
              <w:rPr>
                <w:rFonts w:ascii="Times New Roman" w:hAnsi="Times New Roman" w:cs="Times New Roman"/>
                <w:color w:val="auto"/>
              </w:rPr>
              <w:t xml:space="preserve"> </w:t>
            </w:r>
            <w:r w:rsidR="009C2EAE" w:rsidRPr="009C2EAE">
              <w:rPr>
                <w:rFonts w:ascii="Times New Roman" w:hAnsi="Times New Roman" w:cs="Times New Roman"/>
                <w:color w:val="auto"/>
              </w:rPr>
              <w:t>Fond na podporu umenia a Fond na podporu kultúry národnostných menšín</w:t>
            </w:r>
            <w:r w:rsidR="009C2EAE">
              <w:rPr>
                <w:rFonts w:ascii="Times New Roman" w:hAnsi="Times New Roman" w:cs="Times New Roman"/>
                <w:color w:val="auto"/>
              </w:rPr>
              <w:t>,</w:t>
            </w:r>
            <w:r w:rsidR="00332909">
              <w:rPr>
                <w:rFonts w:ascii="Times New Roman" w:hAnsi="Times New Roman" w:cs="Times New Roman"/>
                <w:color w:val="auto"/>
              </w:rPr>
              <w:t xml:space="preserve"> vlastné zdroje</w:t>
            </w:r>
            <w:r w:rsidR="00CA7EBD">
              <w:rPr>
                <w:rFonts w:ascii="Times New Roman" w:hAnsi="Times New Roman" w:cs="Times New Roman"/>
                <w:color w:val="auto"/>
              </w:rPr>
              <w:t xml:space="preserve"> </w:t>
            </w:r>
          </w:p>
        </w:tc>
      </w:tr>
      <w:tr w:rsidR="00332909" w:rsidTr="00332909">
        <w:trPr>
          <w:trHeight w:val="300"/>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 xml:space="preserve">14 061 105 </w:t>
            </w:r>
            <w:r>
              <w:rPr>
                <w:rFonts w:ascii="Times New Roman" w:hAnsi="Times New Roman" w:cs="Times New Roman"/>
                <w:color w:val="auto"/>
              </w:rPr>
              <w:t>eur</w:t>
            </w:r>
          </w:p>
        </w:tc>
      </w:tr>
      <w:tr w:rsidR="00332909" w:rsidTr="00332909">
        <w:trPr>
          <w:trHeight w:val="300"/>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185  tis. eur</w:t>
            </w:r>
          </w:p>
        </w:tc>
      </w:tr>
      <w:tr w:rsidR="00332909" w:rsidTr="00332909">
        <w:trPr>
          <w:trHeight w:val="300"/>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CA7EBD">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4 000 tis. eur</w:t>
            </w:r>
          </w:p>
        </w:tc>
      </w:tr>
      <w:tr w:rsidR="00332909" w:rsidTr="00332909">
        <w:trPr>
          <w:trHeight w:val="300"/>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56</w:t>
            </w:r>
          </w:p>
        </w:tc>
      </w:tr>
      <w:tr w:rsidR="00332909" w:rsidTr="00332909">
        <w:trPr>
          <w:trHeight w:val="300"/>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w:t>
            </w:r>
          </w:p>
        </w:tc>
      </w:tr>
      <w:tr w:rsidR="00332909" w:rsidTr="00332909">
        <w:trPr>
          <w:trHeight w:val="300"/>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Partneri:</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1A2B87">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w:t>
            </w:r>
            <w:r w:rsidR="00332909">
              <w:rPr>
                <w:rFonts w:ascii="Times New Roman" w:hAnsi="Times New Roman" w:cs="Times New Roman"/>
                <w:color w:val="auto"/>
              </w:rPr>
              <w:t>ada, výbor</w:t>
            </w:r>
          </w:p>
        </w:tc>
      </w:tr>
      <w:tr w:rsidR="00332909" w:rsidTr="00332909">
        <w:trPr>
          <w:trHeight w:val="304"/>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304"/>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332909">
        <w:trPr>
          <w:trHeight w:val="304"/>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rPr>
              <w:t>subjekty územnej spolupráce, iné právnické osoby a fyzické osoby - podnikatelia</w:t>
            </w:r>
          </w:p>
        </w:tc>
      </w:tr>
    </w:tbl>
    <w:p w:rsidR="00332909" w:rsidRDefault="00332909" w:rsidP="00332909">
      <w:pPr>
        <w:pStyle w:val="Nadpis2"/>
        <w:rPr>
          <w:rFonts w:eastAsia="Times New Roman" w:cs="Times New Roman"/>
          <w:sz w:val="22"/>
          <w:szCs w:val="22"/>
        </w:rPr>
      </w:pPr>
      <w:bookmarkStart w:id="75" w:name="_Toc511211884"/>
      <w:bookmarkStart w:id="76" w:name="_Toc517084358"/>
      <w:r>
        <w:rPr>
          <w:rFonts w:cs="Times New Roman"/>
          <w:sz w:val="22"/>
          <w:szCs w:val="22"/>
        </w:rPr>
        <w:t>E. Prioritná oblasť - starostlivosti o životné prostredie</w:t>
      </w:r>
      <w:bookmarkEnd w:id="75"/>
      <w:bookmarkEnd w:id="76"/>
    </w:p>
    <w:p w:rsidR="00332909" w:rsidRDefault="00332909" w:rsidP="00332909">
      <w:pPr>
        <w:rPr>
          <w:rFonts w:eastAsia="Times New Roman" w:cs="Times New Roman"/>
        </w:rPr>
      </w:pPr>
      <w:r>
        <w:rPr>
          <w:rFonts w:cs="Times New Roman"/>
          <w:b/>
          <w:bCs/>
        </w:rPr>
        <w:t>Zlepšenie životného prostredia.</w:t>
      </w:r>
      <w:r>
        <w:rPr>
          <w:rFonts w:cs="Times New Roman"/>
        </w:rPr>
        <w:t xml:space="preserve"> Ochrana životného prostredia, racionálne zhodnocovanie odpadov a efektívne využívanie obnoviteľných zdrojov zásadne prispievajú nielen k zlepšeniu kvality života na vidieku, ale aj k ekonomickému rozvoju regiónu.</w:t>
      </w:r>
    </w:p>
    <w:p w:rsidR="00332909" w:rsidRDefault="00332909" w:rsidP="00332909">
      <w:pPr>
        <w:pStyle w:val="Nadpis3"/>
        <w:rPr>
          <w:rFonts w:eastAsia="Times New Roman" w:cs="Times New Roman"/>
        </w:rPr>
      </w:pPr>
      <w:bookmarkStart w:id="77" w:name="_Toc511211885"/>
      <w:bookmarkStart w:id="78" w:name="_Toc517084359"/>
      <w:r>
        <w:rPr>
          <w:rFonts w:eastAsia="Times New Roman" w:cs="Times New Roman"/>
        </w:rPr>
        <w:t>Opatrenie E.1. Zníženie energetickej náročnosti</w:t>
      </w:r>
      <w:bookmarkEnd w:id="77"/>
      <w:bookmarkEnd w:id="78"/>
    </w:p>
    <w:p w:rsidR="00332909" w:rsidRDefault="00332909" w:rsidP="00332909">
      <w:pPr>
        <w:rPr>
          <w:rFonts w:cs="Times New Roman"/>
        </w:rPr>
      </w:pPr>
      <w:r>
        <w:rPr>
          <w:rFonts w:cs="Times New Roman"/>
        </w:rPr>
        <w:t>Cieľom opatrenia je zníženie energetickej náročnosti verejných budov, zvýšenie ich energetickej efektívnosti realizáciou opatrení vedúcich k zlepšeniu tepelno-technických vlastností objektov, čím sa dosiahne zníženie nepriaznivých vplyvov na životné prostredie znížením emisií a zníženie nákladov na prevádzku verejných budov.</w:t>
      </w:r>
    </w:p>
    <w:p w:rsidR="00332909" w:rsidRDefault="00332909" w:rsidP="00332909">
      <w:pPr>
        <w:rPr>
          <w:rFonts w:cs="Times New Roman"/>
        </w:rPr>
      </w:pPr>
      <w:r>
        <w:rPr>
          <w:rFonts w:cs="Times New Roman"/>
        </w:rPr>
        <w:t>Aktivity opatrenia sú zamerané predovšetkým na:</w:t>
      </w:r>
    </w:p>
    <w:p w:rsidR="00332909" w:rsidRDefault="00332909" w:rsidP="00C90BE5">
      <w:pPr>
        <w:pStyle w:val="Odsekzoznamu"/>
        <w:numPr>
          <w:ilvl w:val="0"/>
          <w:numId w:val="52"/>
        </w:numPr>
      </w:pPr>
      <w:r>
        <w:t>stavebné úpravy v súvislosti so znížením energetickej náročnosti budov (zateplenie obvodového plášťa, strechy, výmenu vonkajších okien a dverí, rekonštrukciu vykurovacích a osvetľovacích systémov, inštaláciu rekuperačných jednotiek,</w:t>
      </w:r>
    </w:p>
    <w:p w:rsidR="00332909" w:rsidRDefault="00332909" w:rsidP="00C90BE5">
      <w:pPr>
        <w:pStyle w:val="Odsekzoznamu"/>
        <w:numPr>
          <w:ilvl w:val="0"/>
          <w:numId w:val="52"/>
        </w:numPr>
      </w:pPr>
      <w:r>
        <w:t>využitie obnoviteľných zdrojov energie (OZE) pri prevádzke budov,</w:t>
      </w:r>
    </w:p>
    <w:p w:rsidR="00332909" w:rsidRDefault="00332909" w:rsidP="00C90BE5">
      <w:pPr>
        <w:pStyle w:val="Odsekzoznamu"/>
        <w:numPr>
          <w:ilvl w:val="0"/>
          <w:numId w:val="52"/>
        </w:numPr>
        <w:spacing w:after="240" w:line="360" w:lineRule="auto"/>
      </w:pPr>
      <w:r>
        <w:t>podpora vypracovania prípravnej a projektovej dokumentácie.</w:t>
      </w:r>
    </w:p>
    <w:p w:rsidR="00332909" w:rsidRPr="00C90BE5" w:rsidRDefault="00C90BE5" w:rsidP="00C90BE5">
      <w:pPr>
        <w:spacing w:after="240" w:line="360" w:lineRule="auto"/>
        <w:jc w:val="left"/>
        <w:rPr>
          <w:rFonts w:eastAsia="Times New Roman"/>
        </w:rPr>
      </w:pPr>
      <w:r>
        <w:rPr>
          <w:rFonts w:eastAsia="Times New Roman"/>
        </w:rPr>
        <w:t>V</w:t>
      </w:r>
      <w:r w:rsidR="00332909" w:rsidRPr="00C90BE5">
        <w:rPr>
          <w:rFonts w:eastAsia="Times New Roman"/>
        </w:rPr>
        <w:t xml:space="preserve">ýhľadová podlahová plocha zrekonštruovaných verejných budov sa predpokladá na 440 </w:t>
      </w:r>
      <w:r w:rsidRPr="00C90BE5">
        <w:rPr>
          <w:rFonts w:eastAsia="Times New Roman"/>
        </w:rPr>
        <w:t>m</w:t>
      </w:r>
      <w:r w:rsidRPr="00C90BE5">
        <w:rPr>
          <w:rFonts w:eastAsia="Times New Roman"/>
          <w:vertAlign w:val="superscript"/>
        </w:rPr>
        <w:t>2</w:t>
      </w:r>
      <w:r>
        <w:rPr>
          <w:rFonts w:eastAsia="Times New Roman"/>
        </w:rPr>
        <w:t>.</w:t>
      </w:r>
    </w:p>
    <w:tbl>
      <w:tblPr>
        <w:tblStyle w:val="TableNormal"/>
        <w:tblW w:w="901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729"/>
        <w:gridCol w:w="5286"/>
      </w:tblGrid>
      <w:tr w:rsidR="00332909" w:rsidTr="00332909">
        <w:trPr>
          <w:trHeight w:val="344"/>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lastRenderedPageBreak/>
              <w:t>Predpokladané zdroje financovania:</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41D18">
            <w:pPr>
              <w:pStyle w:val="Bezriadkovania"/>
              <w:spacing w:line="276" w:lineRule="auto"/>
              <w:jc w:val="both"/>
              <w:rPr>
                <w:rFonts w:ascii="Times New Roman" w:hAnsi="Times New Roman" w:cs="Times New Roman"/>
              </w:rPr>
            </w:pPr>
            <w:r>
              <w:rPr>
                <w:rFonts w:ascii="Times New Roman" w:hAnsi="Times New Roman" w:cs="Times New Roman"/>
                <w:color w:val="auto"/>
              </w:rPr>
              <w:t>OP KŽP</w:t>
            </w:r>
            <w:r w:rsidR="00CA7EBD">
              <w:rPr>
                <w:rFonts w:ascii="Times New Roman" w:hAnsi="Times New Roman" w:cs="Times New Roman"/>
                <w:color w:val="auto"/>
              </w:rPr>
              <w:t>,</w:t>
            </w:r>
            <w:r>
              <w:rPr>
                <w:rFonts w:ascii="Times New Roman" w:hAnsi="Times New Roman" w:cs="Times New Roman"/>
                <w:color w:val="auto"/>
              </w:rPr>
              <w:t xml:space="preserve"> </w:t>
            </w:r>
            <w:r w:rsidR="00CA7EBD">
              <w:rPr>
                <w:rFonts w:ascii="Times New Roman" w:hAnsi="Times New Roman" w:cs="Times New Roman"/>
                <w:color w:val="auto"/>
              </w:rPr>
              <w:t>IROP, PRV</w:t>
            </w:r>
            <w:r w:rsidR="006C5E6A">
              <w:rPr>
                <w:rFonts w:ascii="Times New Roman" w:hAnsi="Times New Roman" w:cs="Times New Roman"/>
                <w:color w:val="auto"/>
              </w:rPr>
              <w:t>,</w:t>
            </w:r>
            <w:r w:rsidR="00CA7EBD">
              <w:rPr>
                <w:rFonts w:ascii="Times New Roman" w:hAnsi="Times New Roman" w:cs="Times New Roman"/>
              </w:rPr>
              <w:t xml:space="preserve"> </w:t>
            </w:r>
            <w:r w:rsidR="00A41D18">
              <w:rPr>
                <w:rFonts w:ascii="Times New Roman" w:hAnsi="Times New Roman" w:cs="Times New Roman"/>
              </w:rPr>
              <w:t>resp. ich ekvivalenty v rámci programového obdobia 2020+</w:t>
            </w:r>
          </w:p>
          <w:p w:rsidR="00A41D18" w:rsidRDefault="00A41D18"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Environmentálny fond, RP</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156 989</w:t>
            </w:r>
            <w:r>
              <w:rPr>
                <w:rFonts w:ascii="Times New Roman" w:hAnsi="Times New Roman" w:cs="Times New Roman"/>
                <w:color w:val="auto"/>
                <w:lang w:val="pl-PL"/>
              </w:rPr>
              <w:t xml:space="preserve"> </w:t>
            </w:r>
            <w:r>
              <w:rPr>
                <w:rFonts w:ascii="Times New Roman" w:hAnsi="Times New Roman" w:cs="Times New Roman"/>
                <w:color w:val="auto"/>
              </w:rPr>
              <w:t>eur</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25 tis. eur</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Z toho orientačne </w:t>
            </w:r>
            <w:r w:rsidR="00DB5883">
              <w:rPr>
                <w:rFonts w:ascii="Times New Roman" w:hAnsi="Times New Roman" w:cs="Times New Roman"/>
                <w:b/>
                <w:bCs/>
                <w:color w:val="auto"/>
              </w:rPr>
              <w:t xml:space="preserve">programy spolufinancované z </w:t>
            </w:r>
            <w:r>
              <w:rPr>
                <w:rFonts w:ascii="Times New Roman" w:hAnsi="Times New Roman" w:cs="Times New Roman"/>
                <w:b/>
                <w:bCs/>
                <w:color w:val="auto"/>
              </w:rPr>
              <w:t>EŠIF:</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132 tis. eur</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tabs>
                <w:tab w:val="left" w:pos="1125"/>
              </w:tabs>
              <w:spacing w:line="276" w:lineRule="auto"/>
              <w:jc w:val="both"/>
              <w:rPr>
                <w:rFonts w:ascii="Times New Roman" w:hAnsi="Times New Roman" w:cs="Times New Roman"/>
                <w:color w:val="auto"/>
              </w:rPr>
            </w:pPr>
            <w:r>
              <w:rPr>
                <w:rFonts w:ascii="Times New Roman" w:hAnsi="Times New Roman" w:cs="Times New Roman"/>
                <w:color w:val="auto"/>
              </w:rPr>
              <w:t>5</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Partneri:</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Účel RP: </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Prípravná a projektová dokumentácia, stavebné úpravy v súvislosti so znížením energetickej náročnosti budov, využitie obnoviteľných zdrojov energie a iné výdavky súvisiace s realizáciou projektov v rámci opatrenia</w:t>
            </w:r>
          </w:p>
        </w:tc>
      </w:tr>
      <w:tr w:rsidR="00332909" w:rsidTr="00332909">
        <w:trPr>
          <w:trHeight w:val="160"/>
        </w:trPr>
        <w:tc>
          <w:tcPr>
            <w:tcW w:w="37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 xml:space="preserve">Prijímateľ RP: </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rPr>
              <w:t>subjekty územnej spolupráce, iné právnické osoby a fyzické osoby - podnikatelia</w:t>
            </w:r>
          </w:p>
        </w:tc>
      </w:tr>
    </w:tbl>
    <w:p w:rsidR="008F2717" w:rsidRDefault="008F2717" w:rsidP="00FF6FAE">
      <w:pPr>
        <w:spacing w:before="120"/>
      </w:pPr>
      <w:bookmarkStart w:id="79" w:name="_Toc511211886"/>
      <w:bookmarkStart w:id="80" w:name="_Toc517084360"/>
      <w:r w:rsidRPr="008F2717">
        <w:t>V prípade využitia financovania zo zdrojov podpory z Environmentálneho fondu pri realizácii vyššie uvedených aktivít sa predmet/obsah podpory bude odvíjať od konkrétnych podmienok pre podporu, definovaných zákonom č. 587/2004 Z. z. o Environmentálnom fonde a o zmene a doplnení niektorých zákonov v znení neskorších predpisov a Špecifikácie činností podpory z Environmentálneho fondu pre relevantné činnosti, ktorá sa zverejňuje vždy do 30.6. v roku predchádzajúcom roku, pre ktorý je určená.</w:t>
      </w:r>
    </w:p>
    <w:p w:rsidR="00332909" w:rsidRDefault="00332909" w:rsidP="00332909">
      <w:pPr>
        <w:pStyle w:val="Nadpis3"/>
        <w:rPr>
          <w:rFonts w:eastAsia="Times New Roman" w:cs="Times New Roman"/>
        </w:rPr>
      </w:pPr>
      <w:r>
        <w:rPr>
          <w:rFonts w:eastAsia="Times New Roman" w:cs="Times New Roman"/>
        </w:rPr>
        <w:t>Opatrenie E.2. Výstavba vodárenskej infraštruktúry</w:t>
      </w:r>
      <w:bookmarkEnd w:id="79"/>
      <w:bookmarkEnd w:id="80"/>
    </w:p>
    <w:p w:rsidR="00332909" w:rsidRDefault="00332909" w:rsidP="00332909">
      <w:pPr>
        <w:rPr>
          <w:rFonts w:cs="Times New Roman"/>
        </w:rPr>
      </w:pPr>
      <w:r>
        <w:rPr>
          <w:rFonts w:cs="Times New Roman"/>
        </w:rPr>
        <w:t>Cieľom opatrenia je podpora aktivít, ktoré vedú k zníženiu znečistenia podzemných a povrchových vôd v dôsledku nedostatočného odvádzania a čistenia odpadových vôd a k zvýšeniu počtu obyvateľov okresu Bardejov napojených na verejné kanalizácie a zásobovaných kvalitnou pitnou vodou z verejných vodovodov.</w:t>
      </w:r>
    </w:p>
    <w:p w:rsidR="00332909" w:rsidRDefault="00332909" w:rsidP="00332909">
      <w:pPr>
        <w:rPr>
          <w:rFonts w:cs="Times New Roman"/>
        </w:rPr>
      </w:pPr>
      <w:r>
        <w:rPr>
          <w:rFonts w:cs="Times New Roman"/>
        </w:rPr>
        <w:t xml:space="preserve"> Aktivity opatrenia sú zamerané predovšetkým na:</w:t>
      </w:r>
    </w:p>
    <w:p w:rsidR="00332909" w:rsidRPr="00C90BE5" w:rsidRDefault="00332909" w:rsidP="00C90BE5">
      <w:pPr>
        <w:pStyle w:val="Odsekzoznamu"/>
        <w:numPr>
          <w:ilvl w:val="0"/>
          <w:numId w:val="53"/>
        </w:numPr>
      </w:pPr>
      <w:r w:rsidRPr="00C90BE5">
        <w:t>Výstavba vodovodu,</w:t>
      </w:r>
    </w:p>
    <w:p w:rsidR="00332909" w:rsidRPr="00C90BE5" w:rsidRDefault="00332909" w:rsidP="00C90BE5">
      <w:pPr>
        <w:pStyle w:val="Odsekzoznamu"/>
        <w:numPr>
          <w:ilvl w:val="0"/>
          <w:numId w:val="53"/>
        </w:numPr>
        <w:spacing w:after="240"/>
        <w:rPr>
          <w:rFonts w:eastAsia="Times New Roman"/>
          <w:bCs/>
        </w:rPr>
      </w:pPr>
      <w:r w:rsidRPr="00C90BE5">
        <w:t xml:space="preserve">výstavba, rekonštrukcia kanalizácie a ČOV. </w:t>
      </w:r>
    </w:p>
    <w:p w:rsidR="00332909" w:rsidRPr="00C90BE5" w:rsidRDefault="00332909" w:rsidP="00C90BE5">
      <w:pPr>
        <w:spacing w:after="240"/>
        <w:rPr>
          <w:rFonts w:eastAsia="Times New Roman"/>
          <w:bCs/>
        </w:rPr>
      </w:pPr>
      <w:r w:rsidRPr="00C90BE5">
        <w:rPr>
          <w:rFonts w:eastAsia="Times New Roman"/>
          <w:bCs/>
        </w:rPr>
        <w:t>Predpokladá sa s vybudovaním 3,3 km vodovodnej siete a 0,75 km kanalizačnej siete</w:t>
      </w:r>
      <w:r w:rsidR="00C90BE5">
        <w:rPr>
          <w:rFonts w:eastAsia="Times New Roman"/>
          <w:bCs/>
        </w:rPr>
        <w:t>.</w:t>
      </w:r>
    </w:p>
    <w:tbl>
      <w:tblPr>
        <w:tblStyle w:val="TableNormal"/>
        <w:tblW w:w="88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764"/>
        <w:gridCol w:w="5056"/>
      </w:tblGrid>
      <w:tr w:rsidR="00332909" w:rsidTr="00603CAD">
        <w:trPr>
          <w:trHeight w:val="365"/>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IROP, PRV</w:t>
            </w:r>
            <w:r w:rsidR="006C5E6A">
              <w:rPr>
                <w:rFonts w:ascii="Times New Roman" w:hAnsi="Times New Roman" w:cs="Times New Roman"/>
                <w:color w:val="auto"/>
              </w:rPr>
              <w:t>,</w:t>
            </w:r>
            <w:r w:rsidR="00FF6FAE">
              <w:t xml:space="preserve"> </w:t>
            </w:r>
            <w:r w:rsidR="00A41D18">
              <w:rPr>
                <w:rFonts w:ascii="Times New Roman" w:hAnsi="Times New Roman" w:cs="Times New Roman"/>
                <w:color w:val="auto"/>
              </w:rPr>
              <w:t>resp. ich</w:t>
            </w:r>
            <w:r w:rsidR="00FF6FAE" w:rsidRPr="00FF6FAE">
              <w:rPr>
                <w:rFonts w:ascii="Times New Roman" w:hAnsi="Times New Roman" w:cs="Times New Roman"/>
                <w:color w:val="auto"/>
              </w:rPr>
              <w:t xml:space="preserve"> ekvivalenty v rámci programového obdobia 2020+</w:t>
            </w:r>
            <w:r>
              <w:rPr>
                <w:rFonts w:ascii="Times New Roman" w:hAnsi="Times New Roman" w:cs="Times New Roman"/>
                <w:color w:val="auto"/>
              </w:rPr>
              <w:t xml:space="preserve"> </w:t>
            </w:r>
          </w:p>
          <w:p w:rsidR="00A41D18" w:rsidRDefault="00A41D18" w:rsidP="00A41D18">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Environmentálny fond</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1 822 130 eur</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 --</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FF6FAE">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lastRenderedPageBreak/>
              <w:t>Z toho orientačne</w:t>
            </w:r>
            <w:r w:rsidR="00575EFB">
              <w:rPr>
                <w:rFonts w:ascii="Times New Roman" w:hAnsi="Times New Roman" w:cs="Times New Roman"/>
                <w:b/>
                <w:bCs/>
                <w:color w:val="auto"/>
              </w:rPr>
              <w:t xml:space="preserve"> programy spolufinancované z</w:t>
            </w:r>
            <w:r>
              <w:rPr>
                <w:rFonts w:ascii="Times New Roman" w:hAnsi="Times New Roman" w:cs="Times New Roman"/>
                <w:b/>
                <w:bCs/>
                <w:color w:val="auto"/>
              </w:rPr>
              <w:t xml:space="preserve"> EŠIF:</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450 tis. eur</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tabs>
                <w:tab w:val="left" w:pos="1125"/>
              </w:tabs>
              <w:spacing w:line="276" w:lineRule="auto"/>
              <w:jc w:val="both"/>
              <w:rPr>
                <w:rFonts w:ascii="Times New Roman" w:hAnsi="Times New Roman" w:cs="Times New Roman"/>
                <w:color w:val="auto"/>
              </w:rPr>
            </w:pPr>
            <w:r>
              <w:rPr>
                <w:rFonts w:ascii="Times New Roman" w:hAnsi="Times New Roman" w:cs="Times New Roman"/>
                <w:color w:val="auto"/>
              </w:rPr>
              <w:t>7</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Partneri:</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Prípravná a projektová dokumentácia, výstavba vodovodov a kanalizácie a ČOV</w:t>
            </w:r>
          </w:p>
        </w:tc>
      </w:tr>
      <w:tr w:rsidR="00332909" w:rsidTr="00603CAD">
        <w:trPr>
          <w:trHeight w:val="170"/>
        </w:trPr>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0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bl>
    <w:p w:rsidR="008F2717" w:rsidRDefault="00603CAD" w:rsidP="00603CAD">
      <w:pPr>
        <w:spacing w:before="120"/>
      </w:pPr>
      <w:bookmarkStart w:id="81" w:name="_Toc511211887"/>
      <w:bookmarkStart w:id="82" w:name="_Toc517084361"/>
      <w:r w:rsidRPr="00603CAD">
        <w:t>V prípade využitia financovania zo zdrojov podpory z Environmentálneho fondu pri realizácii vyššie uvedených aktivít sa predmet/obsah podpory bude odvíjať od konkrétnych podmienok pre podporu, definovaných zákonom č. 587/2004 Z. z. o Environmentálnom fonde a o zmene a doplnení niektorých zákonov v znení neskorších predpisov a Špecifikácie činností podpory z Environmentálneho fondu pre relevantné činnosti, ktorá sa zverejňuje vždy do 30.6. v roku predchádzajúcom roku, pre ktorý je určená.</w:t>
      </w:r>
    </w:p>
    <w:p w:rsidR="00332909" w:rsidRDefault="00332909" w:rsidP="00332909">
      <w:pPr>
        <w:pStyle w:val="Nadpis3"/>
        <w:rPr>
          <w:rFonts w:eastAsia="Times New Roman" w:cs="Times New Roman"/>
        </w:rPr>
      </w:pPr>
      <w:r>
        <w:rPr>
          <w:rFonts w:eastAsia="Times New Roman" w:cs="Times New Roman"/>
        </w:rPr>
        <w:t>Opatrenie E.3. Podpora triedenia a zhodnocovania odpadov</w:t>
      </w:r>
      <w:bookmarkEnd w:id="81"/>
      <w:bookmarkEnd w:id="82"/>
    </w:p>
    <w:p w:rsidR="00332909" w:rsidRDefault="00332909" w:rsidP="00332909">
      <w:pPr>
        <w:shd w:val="clear" w:color="auto" w:fill="FFFFFF"/>
        <w:rPr>
          <w:rFonts w:eastAsia="Times New Roman" w:cs="Times New Roman"/>
        </w:rPr>
      </w:pPr>
      <w:r>
        <w:rPr>
          <w:rFonts w:cs="Times New Roman"/>
        </w:rPr>
        <w:t>Cieľom opatrenia je udržateľné využívanie prírodných zdrojov prostredníctvom rozvoja environmentálnej infraštruktúry aj v oblasti nakladania s komunálnym odpadom a to predovšetkým posilňovaním a zvyšovaním kapacít systému triedeného zberu, podpory mechanicko-biologickej úpravy zmesových komunálnych odpadov čím sa zníži zneškodňovanie komunálnych odpadov skládkovaním, podpora zhodnocovania a recyklácie odpadov. Spôsob nakladania s odpadmi má priamy vplyv na rozvoj regiónu a miestnej ekonomiky</w:t>
      </w:r>
    </w:p>
    <w:p w:rsidR="00332909" w:rsidRDefault="00332909" w:rsidP="00332909">
      <w:pPr>
        <w:shd w:val="clear" w:color="auto" w:fill="FFFFFF"/>
        <w:tabs>
          <w:tab w:val="left" w:pos="2475"/>
        </w:tabs>
        <w:rPr>
          <w:rFonts w:cs="Times New Roman"/>
        </w:rPr>
      </w:pPr>
      <w:r>
        <w:rPr>
          <w:rFonts w:cs="Times New Roman"/>
        </w:rPr>
        <w:t xml:space="preserve">Nakladanie s odpadmi spôsobom ich ďalšieho </w:t>
      </w:r>
      <w:r w:rsidR="0023394C">
        <w:rPr>
          <w:rFonts w:cs="Times New Roman"/>
        </w:rPr>
        <w:t xml:space="preserve">zhodnocovania, </w:t>
      </w:r>
      <w:r w:rsidR="0023394C" w:rsidRPr="0023394C">
        <w:rPr>
          <w:rFonts w:cs="Times New Roman"/>
        </w:rPr>
        <w:t>vrátane prípravy odpadu pred zhodnocovaním</w:t>
      </w:r>
      <w:r w:rsidR="0023394C">
        <w:rPr>
          <w:rFonts w:cs="Times New Roman"/>
          <w:strike/>
        </w:rPr>
        <w:t>,</w:t>
      </w:r>
      <w:r w:rsidR="0023394C">
        <w:rPr>
          <w:rFonts w:cs="Times New Roman"/>
        </w:rPr>
        <w:t xml:space="preserve"> </w:t>
      </w:r>
      <w:r>
        <w:rPr>
          <w:rFonts w:cs="Times New Roman"/>
        </w:rPr>
        <w:t xml:space="preserve">čo najbližšie pri mieste vzniku má zároveň vysoký potenciál tvorby nových pracovných miest – najvyšší potenciál sa javí pri prevádzkovaní zberných dvorov, ďalej pri </w:t>
      </w:r>
      <w:r w:rsidR="0023394C">
        <w:rPr>
          <w:rFonts w:cs="Times New Roman"/>
        </w:rPr>
        <w:t xml:space="preserve">zhodnocovaní </w:t>
      </w:r>
      <w:r>
        <w:rPr>
          <w:rFonts w:cs="Times New Roman"/>
        </w:rPr>
        <w:t>drobného stavebného odpadu, biologicky rozložiteľného komunálneho odpadu (predovšetkým kompostovaním), papiera, plastov. Potrebné sú aj dotrieďovacie linky. Realizované aktivity musia byť systematicky prepojené s dostatočnou informačnou kampaňou a s aktívnym zapojením menej kvalifikovaných skupín obyvateľstva do realizačných častí.</w:t>
      </w:r>
    </w:p>
    <w:p w:rsidR="00332909" w:rsidRDefault="00332909" w:rsidP="00332909">
      <w:pPr>
        <w:shd w:val="clear" w:color="auto" w:fill="FFFFFF"/>
        <w:rPr>
          <w:rFonts w:cs="Times New Roman"/>
        </w:rPr>
      </w:pPr>
      <w:r>
        <w:rPr>
          <w:rFonts w:cs="Times New Roman"/>
        </w:rPr>
        <w:t>Aktivity opatrenia sú zamerané predovšetkým na:</w:t>
      </w:r>
    </w:p>
    <w:p w:rsidR="00332909" w:rsidRPr="00C90BE5" w:rsidRDefault="00332909" w:rsidP="00C90BE5">
      <w:pPr>
        <w:pStyle w:val="Odsekzoznamu"/>
        <w:numPr>
          <w:ilvl w:val="0"/>
          <w:numId w:val="54"/>
        </w:numPr>
        <w:shd w:val="clear" w:color="auto" w:fill="FFFFFF"/>
        <w:ind w:left="567"/>
        <w:rPr>
          <w:rFonts w:eastAsia="Times New Roman"/>
        </w:rPr>
      </w:pPr>
      <w:r w:rsidRPr="00C90BE5">
        <w:t xml:space="preserve">výstavbu zberných dvorov a obstaranie strojov a zariadení na </w:t>
      </w:r>
      <w:r w:rsidR="0023394C">
        <w:t xml:space="preserve">zhodnocovanie </w:t>
      </w:r>
      <w:r w:rsidRPr="00C90BE5">
        <w:t>a triedenie odpadov s dôrazom na tvorbu pracovných miest vrátane podpory vypracovania prípravnej a projektovej dokumentácie,</w:t>
      </w:r>
    </w:p>
    <w:p w:rsidR="00332909" w:rsidRPr="00C90BE5" w:rsidRDefault="00332909" w:rsidP="00C90BE5">
      <w:pPr>
        <w:pStyle w:val="Odsekzoznamu"/>
        <w:numPr>
          <w:ilvl w:val="0"/>
          <w:numId w:val="54"/>
        </w:numPr>
        <w:shd w:val="clear" w:color="auto" w:fill="FFFFFF"/>
        <w:ind w:left="567"/>
        <w:rPr>
          <w:rFonts w:eastAsia="Times New Roman"/>
        </w:rPr>
      </w:pPr>
      <w:r w:rsidRPr="00C90BE5">
        <w:t>podporu zhodnocovania biologicky rozložiteľného komunálneho odpadu výstavbou kompostární a obstaranie strojov a zariadení s tým súvisiacich výstavbou kompostární,</w:t>
      </w:r>
    </w:p>
    <w:p w:rsidR="00332909" w:rsidRPr="00C90BE5" w:rsidRDefault="00332909" w:rsidP="00C90BE5">
      <w:pPr>
        <w:pStyle w:val="Odsekzoznamu"/>
        <w:numPr>
          <w:ilvl w:val="0"/>
          <w:numId w:val="54"/>
        </w:numPr>
        <w:shd w:val="clear" w:color="auto" w:fill="FFFFFF"/>
        <w:ind w:left="567"/>
        <w:rPr>
          <w:rFonts w:eastAsia="Times New Roman"/>
        </w:rPr>
      </w:pPr>
      <w:r w:rsidRPr="00C90BE5">
        <w:rPr>
          <w:rFonts w:eastAsia="Times New Roman"/>
        </w:rPr>
        <w:t>podpora systémov triedeného zberu odpadov,</w:t>
      </w:r>
    </w:p>
    <w:p w:rsidR="00332909" w:rsidRPr="00C90BE5" w:rsidRDefault="00332909" w:rsidP="00C90BE5">
      <w:pPr>
        <w:pStyle w:val="Odsekzoznamu"/>
        <w:numPr>
          <w:ilvl w:val="0"/>
          <w:numId w:val="54"/>
        </w:numPr>
        <w:shd w:val="clear" w:color="auto" w:fill="FFFFFF"/>
        <w:spacing w:after="240"/>
        <w:ind w:left="567"/>
        <w:rPr>
          <w:rFonts w:eastAsia="Times New Roman"/>
          <w:bCs/>
        </w:rPr>
      </w:pPr>
      <w:r w:rsidRPr="00C90BE5">
        <w:rPr>
          <w:rFonts w:eastAsia="Times New Roman"/>
        </w:rPr>
        <w:t>podporu mechanicko-biologickej úpravy zmesových komunálnych odpadov, zhodnocovania a recyklácie odpadov.</w:t>
      </w:r>
    </w:p>
    <w:p w:rsidR="00332909" w:rsidRPr="00C90BE5" w:rsidRDefault="00332909" w:rsidP="00C90BE5">
      <w:pPr>
        <w:shd w:val="clear" w:color="auto" w:fill="FFFFFF"/>
        <w:spacing w:after="240"/>
        <w:jc w:val="left"/>
        <w:rPr>
          <w:rFonts w:eastAsia="Times New Roman"/>
          <w:bCs/>
        </w:rPr>
      </w:pPr>
      <w:r w:rsidRPr="00C90BE5">
        <w:rPr>
          <w:rFonts w:eastAsia="Times New Roman"/>
          <w:bCs/>
        </w:rPr>
        <w:t>Výhľadovo sa počíta so zvýšením kapacít zariadení na triedenie odpadov na úrovni 1 800 t/r.</w:t>
      </w:r>
    </w:p>
    <w:tbl>
      <w:tblPr>
        <w:tblStyle w:val="TableNormal"/>
        <w:tblW w:w="918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080"/>
        <w:gridCol w:w="5100"/>
      </w:tblGrid>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A35FCD" w:rsidP="00A35FCD">
            <w:pPr>
              <w:pStyle w:val="Bezriadkovania"/>
              <w:spacing w:line="276" w:lineRule="auto"/>
              <w:jc w:val="both"/>
              <w:rPr>
                <w:rFonts w:ascii="Times New Roman" w:hAnsi="Times New Roman" w:cs="Times New Roman"/>
              </w:rPr>
            </w:pPr>
            <w:r>
              <w:rPr>
                <w:rFonts w:ascii="Times New Roman" w:hAnsi="Times New Roman" w:cs="Times New Roman"/>
                <w:color w:val="auto"/>
              </w:rPr>
              <w:t>OP KŽP, OP ĽZ</w:t>
            </w:r>
            <w:r w:rsidR="006C5E6A">
              <w:rPr>
                <w:rFonts w:ascii="Times New Roman" w:hAnsi="Times New Roman" w:cs="Times New Roman"/>
                <w:color w:val="auto"/>
              </w:rPr>
              <w:t>,</w:t>
            </w:r>
            <w:r>
              <w:rPr>
                <w:rFonts w:ascii="Times New Roman" w:hAnsi="Times New Roman" w:cs="Times New Roman"/>
                <w:color w:val="auto"/>
              </w:rPr>
              <w:t xml:space="preserve"> </w:t>
            </w:r>
            <w:r w:rsidR="00653E31">
              <w:rPr>
                <w:rFonts w:ascii="Times New Roman" w:hAnsi="Times New Roman" w:cs="Times New Roman"/>
              </w:rPr>
              <w:t>resp. ich</w:t>
            </w:r>
            <w:r>
              <w:rPr>
                <w:rFonts w:ascii="Times New Roman" w:hAnsi="Times New Roman" w:cs="Times New Roman"/>
              </w:rPr>
              <w:t xml:space="preserve"> ekvivalenty v rámci programového obdobia 2020+</w:t>
            </w:r>
          </w:p>
          <w:p w:rsidR="00A41D18" w:rsidRDefault="00A41D18" w:rsidP="00B55BF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 xml:space="preserve">Environmentálny fond, vlastné zdroje, </w:t>
            </w:r>
            <w:r w:rsidR="00B55BF9">
              <w:rPr>
                <w:rFonts w:ascii="Times New Roman" w:hAnsi="Times New Roman" w:cs="Times New Roman"/>
                <w:color w:val="auto"/>
              </w:rPr>
              <w:t>RP</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lastRenderedPageBreak/>
              <w:t>Celkový rozpočet:</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bdr w:val="none" w:sz="0" w:space="0" w:color="auto" w:frame="1"/>
                <w:lang w:val="pl-PL" w:eastAsia="en-US"/>
              </w:rPr>
              <w:t>10 70</w:t>
            </w:r>
            <w:r w:rsidR="000A7067">
              <w:rPr>
                <w:rFonts w:ascii="Times New Roman" w:eastAsia="Times New Roman" w:hAnsi="Times New Roman" w:cs="Times New Roman"/>
                <w:color w:val="auto"/>
                <w:bdr w:val="none" w:sz="0" w:space="0" w:color="auto" w:frame="1"/>
                <w:lang w:val="pl-PL" w:eastAsia="en-US"/>
              </w:rPr>
              <w:t>6</w:t>
            </w:r>
            <w:r>
              <w:rPr>
                <w:rFonts w:ascii="Times New Roman" w:eastAsia="Times New Roman" w:hAnsi="Times New Roman" w:cs="Times New Roman"/>
                <w:color w:val="auto"/>
                <w:bdr w:val="none" w:sz="0" w:space="0" w:color="auto" w:frame="1"/>
                <w:lang w:val="pl-PL" w:eastAsia="en-US"/>
              </w:rPr>
              <w:t xml:space="preserve"> 556</w:t>
            </w:r>
            <w:r>
              <w:rPr>
                <w:rFonts w:ascii="Times New Roman" w:hAnsi="Times New Roman" w:cs="Times New Roman"/>
                <w:color w:val="auto"/>
                <w:lang w:val="pl-PL"/>
              </w:rPr>
              <w:t xml:space="preserve"> </w:t>
            </w:r>
            <w:r>
              <w:rPr>
                <w:rFonts w:ascii="Times New Roman" w:hAnsi="Times New Roman" w:cs="Times New Roman"/>
                <w:color w:val="auto"/>
              </w:rPr>
              <w:t>eur</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662D6E">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Z toho orientačne</w:t>
            </w:r>
            <w:r w:rsidR="00575EFB">
              <w:rPr>
                <w:rFonts w:ascii="Times New Roman" w:hAnsi="Times New Roman" w:cs="Times New Roman"/>
                <w:b/>
                <w:bCs/>
                <w:color w:val="auto"/>
              </w:rPr>
              <w:t xml:space="preserve"> programy spolufinancované z</w:t>
            </w:r>
            <w:r>
              <w:rPr>
                <w:rFonts w:ascii="Times New Roman" w:hAnsi="Times New Roman" w:cs="Times New Roman"/>
                <w:b/>
                <w:bCs/>
                <w:color w:val="auto"/>
              </w:rPr>
              <w:t xml:space="preserve"> EŠIF:</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6 200 tis. eur</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Z toho výška RP:</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spacing w:line="276" w:lineRule="auto"/>
              <w:rPr>
                <w:sz w:val="22"/>
                <w:szCs w:val="22"/>
                <w:bdr w:val="none" w:sz="0" w:space="0" w:color="auto" w:frame="1"/>
                <w:lang w:eastAsia="sk-SK"/>
              </w:rPr>
            </w:pPr>
            <w:r>
              <w:rPr>
                <w:bdr w:val="none" w:sz="0" w:space="0" w:color="auto" w:frame="1"/>
                <w:lang w:eastAsia="sk-SK"/>
              </w:rPr>
              <w:t>200 tis. eur</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Počet vytvorených pracovných miest:</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68</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Partneri:</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603CAD">
        <w:tc>
          <w:tcPr>
            <w:tcW w:w="4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subjekty územnej spolupráce, iné právnické osoby a fyzické osoby - podnikatelia</w:t>
            </w:r>
          </w:p>
        </w:tc>
      </w:tr>
    </w:tbl>
    <w:p w:rsidR="008F2717" w:rsidRDefault="00603CAD" w:rsidP="00603CAD">
      <w:pPr>
        <w:spacing w:before="120"/>
      </w:pPr>
      <w:bookmarkStart w:id="83" w:name="_Toc511211888"/>
      <w:bookmarkStart w:id="84" w:name="_Toc517084362"/>
      <w:r w:rsidRPr="00603CAD">
        <w:t>V prípade využitia financovania zo zdrojov podpory z Environmentálneho fondu pri realizácii vyššie uvedených aktivít sa predmet/obsah podpory bude odvíjať od konkrétnych podmienok pre podporu, definovaných zákonom č. 587/2004 Z. z. o Environmentálnom fonde a o zmene a doplnení niektorých zákonov v znení neskorších predpisov a Špecifikácie činností podpory z Environmentálneho fondu pre relevantné činnosti, ktorá sa zverejňuje vždy do 30.6. v roku predchádzajúcom roku, pre ktorý je určená.</w:t>
      </w:r>
    </w:p>
    <w:p w:rsidR="00332909" w:rsidRDefault="00332909" w:rsidP="00332909">
      <w:pPr>
        <w:pStyle w:val="Nadpis3"/>
        <w:rPr>
          <w:rFonts w:cs="Times New Roman"/>
        </w:rPr>
      </w:pPr>
      <w:r>
        <w:rPr>
          <w:rFonts w:cs="Times New Roman"/>
        </w:rPr>
        <w:t>Opatrenie E.4. Podpora protipovodňových a stabilizačných opatrení</w:t>
      </w:r>
      <w:bookmarkEnd w:id="83"/>
      <w:bookmarkEnd w:id="84"/>
    </w:p>
    <w:p w:rsidR="00332909" w:rsidRDefault="00332909" w:rsidP="00332909">
      <w:pPr>
        <w:shd w:val="clear" w:color="auto" w:fill="FFFFFF"/>
        <w:rPr>
          <w:rFonts w:cs="Times New Roman"/>
        </w:rPr>
      </w:pPr>
      <w:r>
        <w:rPr>
          <w:rFonts w:cs="Times New Roman"/>
        </w:rPr>
        <w:t>Cieľom opatrenia je predovšetkým zvýšenie ochrany obyvateľstva a majetku pred nepriaznivými následkami povodní a redukcia možností vzniku povodňových škôd. Územie okresu Bardejov bolo v minulých rokoch  postihnuté povodňami a taktiež sa často vyskytujú prívalové dažde. Prevencia škôd a komplexné adaptačné opatrenia, ktoré znižujú nepriaznivé dôsledky zmeny klímy v podmienkach okresu Bardejov by mali byť zamerané na realizáciu opatrení pre zadržiavanie vody, spomaľovanie jej odtoku z krajiny a ochranu proti povodniam.</w:t>
      </w:r>
    </w:p>
    <w:p w:rsidR="00332909" w:rsidRDefault="00332909" w:rsidP="00332909">
      <w:pPr>
        <w:shd w:val="clear" w:color="auto" w:fill="FFFFFF"/>
        <w:rPr>
          <w:rFonts w:cs="Times New Roman"/>
        </w:rPr>
      </w:pPr>
      <w:r>
        <w:rPr>
          <w:rFonts w:cs="Times New Roman"/>
        </w:rPr>
        <w:t>Aktivity opatrenia budú zamerané predovšetkým na:</w:t>
      </w:r>
    </w:p>
    <w:p w:rsidR="00332909" w:rsidRDefault="00332909" w:rsidP="00C90BE5">
      <w:pPr>
        <w:pStyle w:val="Odsekzoznamu"/>
        <w:numPr>
          <w:ilvl w:val="0"/>
          <w:numId w:val="55"/>
        </w:numPr>
        <w:shd w:val="clear" w:color="auto" w:fill="FFFFFF"/>
      </w:pPr>
      <w:r>
        <w:t>realizáciu komplexných vodozádržných adaptačných opatrení zameraných na zmiernenie dopadov zmeny klímy,</w:t>
      </w:r>
    </w:p>
    <w:p w:rsidR="00332909" w:rsidRDefault="00332909" w:rsidP="00C90BE5">
      <w:pPr>
        <w:pStyle w:val="Odsekzoznamu"/>
        <w:numPr>
          <w:ilvl w:val="0"/>
          <w:numId w:val="55"/>
        </w:numPr>
        <w:shd w:val="clear" w:color="auto" w:fill="FFFFFF"/>
      </w:pPr>
      <w:r>
        <w:t>sanácia zosuvov, stabilizácia svahov,</w:t>
      </w:r>
    </w:p>
    <w:p w:rsidR="00332909" w:rsidRDefault="00332909" w:rsidP="00C90BE5">
      <w:pPr>
        <w:pStyle w:val="Odsekzoznamu"/>
        <w:numPr>
          <w:ilvl w:val="0"/>
          <w:numId w:val="55"/>
        </w:numPr>
        <w:shd w:val="clear" w:color="auto" w:fill="FFFFFF"/>
      </w:pPr>
      <w:r>
        <w:t>budovanie a rekonštrukcia technických diel v obciach a lesoch na zmiernenie eróznych procesov a pre akumuláciu vody na účely ochrany pred požiarmi,</w:t>
      </w:r>
    </w:p>
    <w:p w:rsidR="00332909" w:rsidRDefault="00332909" w:rsidP="00C90BE5">
      <w:pPr>
        <w:pStyle w:val="Odsekzoznamu"/>
        <w:numPr>
          <w:ilvl w:val="0"/>
          <w:numId w:val="55"/>
        </w:numPr>
        <w:shd w:val="clear" w:color="auto" w:fill="FFFFFF"/>
        <w:spacing w:after="240"/>
      </w:pPr>
      <w:r>
        <w:t xml:space="preserve">výstavba a rekonštrukcia protipožiarnych lesných ciest </w:t>
      </w:r>
    </w:p>
    <w:p w:rsidR="00332909" w:rsidRDefault="00C90BE5" w:rsidP="00C90BE5">
      <w:pPr>
        <w:shd w:val="clear" w:color="auto" w:fill="FFFFFF"/>
        <w:spacing w:after="240"/>
      </w:pPr>
      <w:r>
        <w:t>V</w:t>
      </w:r>
      <w:r w:rsidR="00332909">
        <w:t> dôsledku realizácie projektov sa predpokladá s počtom 4300 obyva</w:t>
      </w:r>
      <w:r>
        <w:t>teľov chránených pred povodňami.</w:t>
      </w:r>
    </w:p>
    <w:tbl>
      <w:tblPr>
        <w:tblStyle w:val="TableNormal"/>
        <w:tblW w:w="89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749"/>
        <w:gridCol w:w="5191"/>
      </w:tblGrid>
      <w:tr w:rsidR="00332909" w:rsidTr="008F2717">
        <w:trPr>
          <w:trHeight w:val="327"/>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rPr>
                <w:rFonts w:ascii="Times New Roman" w:hAnsi="Times New Roman" w:cs="Times New Roman"/>
                <w:color w:val="auto"/>
              </w:rPr>
            </w:pPr>
            <w:r>
              <w:rPr>
                <w:rFonts w:ascii="Times New Roman" w:hAnsi="Times New Roman" w:cs="Times New Roman"/>
                <w:b/>
                <w:bCs/>
                <w:color w:val="auto"/>
              </w:rPr>
              <w:t>Predpokladané zdroje financovania:</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C5E6A" w:rsidRDefault="00332909" w:rsidP="00653E31">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OP KŽP</w:t>
            </w:r>
            <w:r w:rsidR="006C5E6A">
              <w:rPr>
                <w:rFonts w:ascii="Times New Roman" w:hAnsi="Times New Roman" w:cs="Times New Roman"/>
                <w:color w:val="auto"/>
              </w:rPr>
              <w:t>,</w:t>
            </w:r>
            <w:r w:rsidR="00A35FCD">
              <w:rPr>
                <w:rFonts w:ascii="Times New Roman" w:hAnsi="Times New Roman" w:cs="Times New Roman"/>
                <w:color w:val="auto"/>
              </w:rPr>
              <w:t xml:space="preserve"> </w:t>
            </w:r>
            <w:r w:rsidR="00653E31">
              <w:rPr>
                <w:rFonts w:ascii="Times New Roman" w:hAnsi="Times New Roman" w:cs="Times New Roman"/>
              </w:rPr>
              <w:t>resp.</w:t>
            </w:r>
            <w:r w:rsidR="00A35FCD">
              <w:rPr>
                <w:rFonts w:ascii="Times New Roman" w:hAnsi="Times New Roman" w:cs="Times New Roman"/>
              </w:rPr>
              <w:t xml:space="preserve"> ekvivalent v rámci programového obdobia 2020+</w:t>
            </w:r>
          </w:p>
          <w:p w:rsidR="00332909" w:rsidRDefault="00332909" w:rsidP="00653E31">
            <w:pPr>
              <w:pStyle w:val="Bezriadkovania"/>
              <w:spacing w:line="276" w:lineRule="auto"/>
              <w:jc w:val="both"/>
              <w:rPr>
                <w:rFonts w:ascii="Times New Roman" w:hAnsi="Times New Roman" w:cs="Times New Roman"/>
                <w:color w:val="auto"/>
              </w:rPr>
            </w:pPr>
            <w:r>
              <w:rPr>
                <w:rFonts w:ascii="Times New Roman" w:eastAsia="Times New Roman" w:hAnsi="Times New Roman" w:cs="Times New Roman"/>
                <w:color w:val="auto"/>
              </w:rPr>
              <w:t>Environmentálny fond, vlastné zdroje</w:t>
            </w:r>
            <w:r w:rsidR="00D64D31">
              <w:rPr>
                <w:rFonts w:ascii="Times New Roman" w:eastAsia="Times New Roman" w:hAnsi="Times New Roman" w:cs="Times New Roman"/>
                <w:color w:val="auto"/>
              </w:rPr>
              <w:t xml:space="preserve">, </w:t>
            </w:r>
            <w:r w:rsidR="00D64D31">
              <w:rPr>
                <w:rFonts w:ascii="Times New Roman" w:hAnsi="Times New Roman" w:cs="Times New Roman"/>
                <w:color w:val="auto"/>
              </w:rPr>
              <w:t>RP</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Celkový rozpočet:</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13 828 542 eur</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lastRenderedPageBreak/>
              <w:t>Z toho výška RP:</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85 tis. eur</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rsidP="00A35FCD">
            <w:pPr>
              <w:pStyle w:val="Bezriadkovania"/>
              <w:spacing w:line="276" w:lineRule="auto"/>
              <w:rPr>
                <w:rFonts w:ascii="Times New Roman" w:hAnsi="Times New Roman" w:cs="Times New Roman"/>
                <w:b/>
                <w:bCs/>
                <w:color w:val="auto"/>
              </w:rPr>
            </w:pPr>
            <w:r>
              <w:rPr>
                <w:rFonts w:ascii="Times New Roman" w:hAnsi="Times New Roman" w:cs="Times New Roman"/>
                <w:b/>
                <w:bCs/>
                <w:color w:val="auto"/>
              </w:rPr>
              <w:t>Z toho orientačne</w:t>
            </w:r>
            <w:r w:rsidR="00575EFB">
              <w:rPr>
                <w:rFonts w:ascii="Times New Roman" w:hAnsi="Times New Roman" w:cs="Times New Roman"/>
                <w:b/>
                <w:bCs/>
                <w:color w:val="auto"/>
              </w:rPr>
              <w:t xml:space="preserve"> programy spolufinancované z</w:t>
            </w:r>
            <w:r>
              <w:rPr>
                <w:rFonts w:ascii="Times New Roman" w:hAnsi="Times New Roman" w:cs="Times New Roman"/>
                <w:b/>
                <w:bCs/>
                <w:color w:val="auto"/>
              </w:rPr>
              <w:t xml:space="preserve"> EŠIF:</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7 000 tis. eur</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Počet vytvorených pracovných miest:</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45</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Kľúčoví partneri (gestori):</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Obce, mesto Bardejov, pozemkové spoločenstvá, urbárne spoločenstvá, správcovia vodných tokov, fyzické a právnické osoby obhospodarujúce lesy,  SVP š.p.</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Cs/>
                <w:color w:val="auto"/>
              </w:rPr>
            </w:pPr>
            <w:r>
              <w:rPr>
                <w:rFonts w:ascii="Times New Roman" w:hAnsi="Times New Roman" w:cs="Times New Roman"/>
                <w:b/>
                <w:bCs/>
                <w:color w:val="auto"/>
              </w:rPr>
              <w:t>Partneri:</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rada, výbor</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b/>
                <w:bCs/>
                <w:color w:val="auto"/>
              </w:rPr>
              <w:t>Termín realizácie:</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2018-2022</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Účel RP:</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výdavky súvisiace s realizáciou projektov v rámci opatrenia</w:t>
            </w:r>
          </w:p>
        </w:tc>
      </w:tr>
      <w:tr w:rsidR="00332909" w:rsidTr="008F2717">
        <w:trPr>
          <w:trHeight w:val="152"/>
        </w:trPr>
        <w:tc>
          <w:tcPr>
            <w:tcW w:w="37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b/>
                <w:bCs/>
                <w:color w:val="auto"/>
              </w:rPr>
            </w:pPr>
            <w:r>
              <w:rPr>
                <w:rFonts w:ascii="Times New Roman" w:hAnsi="Times New Roman" w:cs="Times New Roman"/>
                <w:b/>
                <w:bCs/>
                <w:color w:val="auto"/>
              </w:rPr>
              <w:t>Prijímateľ RP:</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32909" w:rsidRDefault="00332909">
            <w:pPr>
              <w:pStyle w:val="Bezriadkovania"/>
              <w:spacing w:line="276" w:lineRule="auto"/>
              <w:jc w:val="both"/>
              <w:rPr>
                <w:rFonts w:ascii="Times New Roman" w:hAnsi="Times New Roman" w:cs="Times New Roman"/>
                <w:color w:val="auto"/>
              </w:rPr>
            </w:pPr>
            <w:r>
              <w:rPr>
                <w:rFonts w:ascii="Times New Roman" w:hAnsi="Times New Roman" w:cs="Times New Roman"/>
                <w:color w:val="auto"/>
              </w:rPr>
              <w:t>subjekty územnej spolupráce, iné právnické osoby a fyzické osoby - podnikatelia</w:t>
            </w:r>
          </w:p>
        </w:tc>
      </w:tr>
    </w:tbl>
    <w:p w:rsidR="008F2717" w:rsidRDefault="008F2717" w:rsidP="00603CAD">
      <w:pPr>
        <w:spacing w:before="120"/>
      </w:pPr>
      <w:bookmarkStart w:id="85" w:name="_Toc511211889"/>
      <w:bookmarkStart w:id="86" w:name="_Toc7"/>
      <w:bookmarkStart w:id="87" w:name="_Toc517084363"/>
      <w:r w:rsidRPr="008F2717">
        <w:t>V prípade využitia financovania zo zdrojov podpory z Environmentálneho fondu pri realizácii vyššie uvedených aktivít sa predmet/obsah podpory bude odvíjať od konkrétnych podmienok pre podporu, definovaných zákonom č. 587/2004 Z. z. o Environmentálnom fonde a o zmene a doplnení niektorých zákonov v znení neskorších predpisov a Špecifikácie činností podpory z Environmentálneho fondu pre relevantné činnosti, ktorá sa zverejňuje vždy do 30.6. v roku predchádzajúcom roku, pre ktorý je určená.</w:t>
      </w:r>
    </w:p>
    <w:p w:rsidR="00332909" w:rsidRDefault="00332909" w:rsidP="00332909">
      <w:pPr>
        <w:pStyle w:val="Nadpis2"/>
        <w:rPr>
          <w:rFonts w:eastAsia="Times New Roman" w:cs="Times New Roman"/>
          <w:sz w:val="22"/>
          <w:szCs w:val="22"/>
        </w:rPr>
      </w:pPr>
      <w:r>
        <w:rPr>
          <w:rFonts w:cs="Times New Roman"/>
          <w:sz w:val="22"/>
          <w:szCs w:val="22"/>
        </w:rPr>
        <w:t>F. Podporné systémové opatrenia na realizáciu Akčného plánu na úrovni Prešovského samosprávneho kraja</w:t>
      </w:r>
      <w:bookmarkEnd w:id="85"/>
      <w:bookmarkEnd w:id="86"/>
      <w:bookmarkEnd w:id="87"/>
    </w:p>
    <w:p w:rsidR="00332909" w:rsidRDefault="00332909" w:rsidP="00332909">
      <w:pPr>
        <w:rPr>
          <w:rFonts w:eastAsia="Times New Roman" w:cs="Times New Roman"/>
        </w:rPr>
      </w:pPr>
      <w:r>
        <w:rPr>
          <w:rFonts w:eastAsia="Times New Roman" w:cs="Times New Roman"/>
        </w:rPr>
        <w:t>Prešovský samosprávny kraj má záujem o úspešnú realizáciu Akčného plánu. Za</w:t>
      </w:r>
      <w:r>
        <w:rPr>
          <w:rFonts w:cs="Times New Roman"/>
        </w:rPr>
        <w:t> </w:t>
      </w:r>
      <w:r>
        <w:rPr>
          <w:rFonts w:eastAsia="Times New Roman" w:cs="Times New Roman"/>
        </w:rPr>
        <w:t>týmto účelom PSK:</w:t>
      </w:r>
    </w:p>
    <w:p w:rsidR="00332909" w:rsidRDefault="00332909" w:rsidP="00C90BE5">
      <w:pPr>
        <w:pStyle w:val="Odsekzoznamu"/>
        <w:numPr>
          <w:ilvl w:val="0"/>
          <w:numId w:val="15"/>
        </w:numPr>
        <w:spacing w:after="0"/>
        <w:rPr>
          <w:rFonts w:eastAsia="Times New Roman"/>
        </w:rPr>
      </w:pPr>
      <w:r>
        <w:rPr>
          <w:rFonts w:eastAsia="Times New Roman"/>
        </w:rPr>
        <w:t>bude podporovať realizáciu opatrení uvedených v Akčnom pláne kde je PSK partner  v oblasti stredného školstva, dopravnej infraštruktúry a infraštruktúry cestovného ruchu,</w:t>
      </w:r>
    </w:p>
    <w:p w:rsidR="00332909" w:rsidRDefault="00332909" w:rsidP="00C90BE5">
      <w:pPr>
        <w:pStyle w:val="Odsekzoznamu"/>
        <w:numPr>
          <w:ilvl w:val="0"/>
          <w:numId w:val="15"/>
        </w:numPr>
        <w:spacing w:after="0"/>
        <w:rPr>
          <w:rFonts w:eastAsia="Times New Roman"/>
        </w:rPr>
      </w:pPr>
      <w:r>
        <w:rPr>
          <w:rFonts w:eastAsia="Times New Roman"/>
        </w:rPr>
        <w:t>bude podporovať spoluprácu regionálnej pobočky Národného podnikateľského centra v Prešove s existujúcimi a potenciálnymi MSP v okrese Bardejov,</w:t>
      </w:r>
    </w:p>
    <w:p w:rsidR="00332909" w:rsidRDefault="00332909" w:rsidP="00C90BE5">
      <w:pPr>
        <w:pStyle w:val="Odsekzoznamu"/>
        <w:numPr>
          <w:ilvl w:val="0"/>
          <w:numId w:val="15"/>
        </w:numPr>
        <w:spacing w:after="0"/>
        <w:rPr>
          <w:rFonts w:eastAsia="Times New Roman"/>
        </w:rPr>
      </w:pPr>
      <w:r>
        <w:rPr>
          <w:rFonts w:eastAsia="Times New Roman"/>
        </w:rPr>
        <w:t>vytvorí partnerskú platformu spolupráce centier podpory rozvoja okresov, ktorá bude na</w:t>
      </w:r>
      <w:r>
        <w:t> </w:t>
      </w:r>
      <w:r>
        <w:rPr>
          <w:rFonts w:eastAsia="Times New Roman"/>
        </w:rPr>
        <w:t>pravidelnej báze podporovať výmenu a zdieľanie informácií spojených s manažmentom Akčných plánov NRO,</w:t>
      </w:r>
    </w:p>
    <w:p w:rsidR="00332909" w:rsidRDefault="00332909" w:rsidP="00C90BE5">
      <w:pPr>
        <w:pStyle w:val="Odsekzoznamu"/>
        <w:numPr>
          <w:ilvl w:val="0"/>
          <w:numId w:val="15"/>
        </w:numPr>
        <w:spacing w:after="0"/>
        <w:rPr>
          <w:rFonts w:eastAsia="Times New Roman"/>
        </w:rPr>
      </w:pPr>
      <w:r>
        <w:rPr>
          <w:rFonts w:eastAsia="Times New Roman"/>
        </w:rPr>
        <w:t>iniciuje zaradenie prioritných projektových zámerov Akčného plánu do Regionálnej integrovanej územnej stratégie prostredníctvom Rady partnerstva na úrovni VÚC.</w:t>
      </w:r>
    </w:p>
    <w:p w:rsidR="00332909" w:rsidRDefault="00332909" w:rsidP="00C90BE5">
      <w:pPr>
        <w:pStyle w:val="Odsekzoznamu"/>
        <w:numPr>
          <w:ilvl w:val="0"/>
          <w:numId w:val="15"/>
        </w:numPr>
        <w:spacing w:after="0"/>
        <w:rPr>
          <w:rFonts w:eastAsia="Times New Roman"/>
        </w:rPr>
      </w:pPr>
      <w:r>
        <w:rPr>
          <w:rFonts w:eastAsia="Times New Roman"/>
        </w:rPr>
        <w:t>v oblasti rozvoja cestnej infraštruktúry pripraví do realizácie modernizáciu ciest koridoru dopravnej infraštruktúry nadregionálnej úrovne – koridory ciest - Prešov - Bardejov – Tarnov – Kurov – Muszynka(Poľsko)</w:t>
      </w:r>
    </w:p>
    <w:p w:rsidR="00332909" w:rsidRDefault="00332909" w:rsidP="00C90BE5">
      <w:pPr>
        <w:pStyle w:val="Odsekzoznamu"/>
        <w:numPr>
          <w:ilvl w:val="0"/>
          <w:numId w:val="15"/>
        </w:numPr>
        <w:spacing w:after="0"/>
        <w:rPr>
          <w:rFonts w:eastAsia="Times New Roman"/>
        </w:rPr>
      </w:pPr>
      <w:r>
        <w:rPr>
          <w:rFonts w:eastAsia="Times New Roman"/>
        </w:rPr>
        <w:t>v nadväznosti na zmenu KURS prehodnotí a vykoná prípadne potrebné zmeny v</w:t>
      </w:r>
      <w:r>
        <w:t> </w:t>
      </w:r>
      <w:r>
        <w:rPr>
          <w:rFonts w:eastAsia="Times New Roman"/>
        </w:rPr>
        <w:t>rozvojových dokumentoch VUC – územný plán, PHSR, RIUS a pod.,</w:t>
      </w:r>
    </w:p>
    <w:p w:rsidR="00332909" w:rsidRDefault="00332909" w:rsidP="00C90BE5">
      <w:pPr>
        <w:pStyle w:val="Odsekzoznamu"/>
        <w:numPr>
          <w:ilvl w:val="0"/>
          <w:numId w:val="15"/>
        </w:numPr>
        <w:spacing w:after="0"/>
        <w:rPr>
          <w:rFonts w:eastAsia="Times New Roman"/>
        </w:rPr>
      </w:pPr>
      <w:r>
        <w:rPr>
          <w:rFonts w:eastAsia="Times New Roman"/>
        </w:rPr>
        <w:t>úloha PSK pri riadení a financovaní stredného školstva – lepší monitoring potrieb, zosúladenie učebných odborov, cielenie financií na dosahovanie výsledkov.</w:t>
      </w:r>
    </w:p>
    <w:p w:rsidR="00332909" w:rsidRDefault="00332909" w:rsidP="00332909">
      <w:pPr>
        <w:pStyle w:val="Nadpis2"/>
        <w:rPr>
          <w:rFonts w:cs="Times New Roman"/>
          <w:sz w:val="22"/>
          <w:szCs w:val="22"/>
        </w:rPr>
      </w:pPr>
      <w:bookmarkStart w:id="88" w:name="_Toc511211890"/>
      <w:bookmarkStart w:id="89" w:name="_Toc8"/>
      <w:bookmarkStart w:id="90" w:name="_Toc517084364"/>
      <w:r>
        <w:rPr>
          <w:rFonts w:cs="Times New Roman"/>
          <w:sz w:val="22"/>
          <w:szCs w:val="22"/>
        </w:rPr>
        <w:lastRenderedPageBreak/>
        <w:t>G.  Podporné systémové opatrenia na realizáciu Akčného plánu na úrovni ústrednej štátnej správy</w:t>
      </w:r>
      <w:bookmarkEnd w:id="88"/>
      <w:bookmarkEnd w:id="89"/>
      <w:bookmarkEnd w:id="90"/>
    </w:p>
    <w:p w:rsidR="00332909" w:rsidRDefault="00332909" w:rsidP="00332909">
      <w:pPr>
        <w:rPr>
          <w:rFonts w:cs="Times New Roman"/>
          <w:shd w:val="clear" w:color="auto" w:fill="FFFFFF"/>
        </w:rPr>
      </w:pPr>
      <w:r>
        <w:rPr>
          <w:rFonts w:cs="Times New Roman"/>
          <w:shd w:val="clear" w:color="auto" w:fill="FFFFFF"/>
        </w:rPr>
        <w:t xml:space="preserve">Pre úspešnú realizáciu Akčného plánu je potrebné nad rámec uznesenia vlády SR vo vzťahu k okresu Bardejov prijať nasledujúce systémové opatrenia na úrovni štátnej správy: </w:t>
      </w:r>
    </w:p>
    <w:p w:rsidR="00332909" w:rsidRDefault="00332909" w:rsidP="00332909">
      <w:pPr>
        <w:pStyle w:val="Odsekzoznamu"/>
        <w:ind w:left="426"/>
        <w:rPr>
          <w:shd w:val="clear" w:color="auto" w:fill="FFFFFF"/>
        </w:rPr>
      </w:pPr>
      <w:r>
        <w:rPr>
          <w:shd w:val="clear" w:color="auto" w:fill="FFFFFF"/>
        </w:rPr>
        <w:t xml:space="preserve">G.1 Novelizovať zákon č. 245/2008 Z. z. o výchove a vzdelávaní (školský zákon) </w:t>
      </w:r>
      <w:r w:rsidR="002E62CF">
        <w:rPr>
          <w:shd w:val="clear" w:color="auto" w:fill="FFFFFF"/>
        </w:rPr>
        <w:t>a o zmene a doplnení niektorých zákonov</w:t>
      </w:r>
      <w:r w:rsidR="00451BC6">
        <w:rPr>
          <w:shd w:val="clear" w:color="auto" w:fill="FFFFFF"/>
        </w:rPr>
        <w:t xml:space="preserve"> v znení neskorších predpisov </w:t>
      </w:r>
      <w:r>
        <w:rPr>
          <w:shd w:val="clear" w:color="auto" w:fill="FFFFFF"/>
        </w:rPr>
        <w:t>s cieľom zaviesť povinnú minimálne jednoročnú predškolskú dochádzku.</w:t>
      </w:r>
    </w:p>
    <w:p w:rsidR="0068677B" w:rsidRDefault="0068677B" w:rsidP="00332909">
      <w:pPr>
        <w:ind w:left="426"/>
        <w:rPr>
          <w:rFonts w:cs="Times New Roman"/>
        </w:rPr>
      </w:pPr>
      <w:r>
        <w:rPr>
          <w:rFonts w:cs="Times New Roman"/>
        </w:rPr>
        <w:t>G.2</w:t>
      </w:r>
      <w:r w:rsidRPr="0068677B">
        <w:t xml:space="preserve"> </w:t>
      </w:r>
      <w:r w:rsidRPr="0068677B">
        <w:rPr>
          <w:rFonts w:cs="Times New Roman"/>
        </w:rPr>
        <w:t>V rámci dotačného programu zameraného na obnovu národných kultúrnych pamiatok podporiť obnovu národných kultúrnych pamiatok nachádzajúcich sa v najmenej rozvinutom okrese Bardejov.</w:t>
      </w:r>
    </w:p>
    <w:p w:rsidR="00332909" w:rsidRDefault="00332909" w:rsidP="00332909">
      <w:pPr>
        <w:ind w:left="426"/>
        <w:rPr>
          <w:rFonts w:cs="Times New Roman"/>
        </w:rPr>
      </w:pPr>
      <w:r>
        <w:rPr>
          <w:rFonts w:cs="Times New Roman"/>
        </w:rPr>
        <w:t xml:space="preserve">G.3 Vytvoriť podmienky a možností na efektívne čerpanie zdrojov Európskej únie pre subjekty v poľnohospodárstve a  lesníctve nachádzajúce sa na území NRO. </w:t>
      </w:r>
    </w:p>
    <w:p w:rsidR="00332909" w:rsidRDefault="00332909" w:rsidP="00332909">
      <w:pPr>
        <w:ind w:left="426"/>
        <w:rPr>
          <w:rFonts w:cs="Times New Roman"/>
        </w:rPr>
      </w:pPr>
      <w:r>
        <w:rPr>
          <w:rFonts w:cs="Times New Roman"/>
        </w:rPr>
        <w:t xml:space="preserve">G.4 Vyčleniť finančné zdroje na investičnú pomoc pre projekty cestovného ruchu, a to na významné investičné projekty v strediskách cestovného ruchu v okrese Bardejov . </w:t>
      </w:r>
    </w:p>
    <w:p w:rsidR="00332909" w:rsidRDefault="00332909" w:rsidP="00B55BF9">
      <w:pPr>
        <w:ind w:left="426"/>
        <w:rPr>
          <w:rFonts w:cs="Times New Roman"/>
        </w:rPr>
      </w:pPr>
      <w:r>
        <w:rPr>
          <w:rFonts w:cs="Times New Roman"/>
          <w:shd w:val="clear" w:color="auto" w:fill="FFFFFF"/>
        </w:rPr>
        <w:t>G.</w:t>
      </w:r>
      <w:r w:rsidR="00003C58">
        <w:rPr>
          <w:rFonts w:cs="Times New Roman"/>
          <w:shd w:val="clear" w:color="auto" w:fill="FFFFFF"/>
        </w:rPr>
        <w:t>5</w:t>
      </w:r>
      <w:r>
        <w:rPr>
          <w:rFonts w:cs="Times New Roman"/>
          <w:shd w:val="clear" w:color="auto" w:fill="FFFFFF"/>
        </w:rPr>
        <w:t xml:space="preserve"> Riešiť modernizáciu cestnej infraštruktúry kraja a v rámci nej dopravné napojenie okresu na</w:t>
      </w:r>
      <w:r>
        <w:rPr>
          <w:rFonts w:cs="Times New Roman"/>
        </w:rPr>
        <w:t> </w:t>
      </w:r>
      <w:r>
        <w:rPr>
          <w:rFonts w:cs="Times New Roman"/>
          <w:shd w:val="clear" w:color="auto" w:fill="FFFFFF"/>
        </w:rPr>
        <w:t>sieť štátnych ciest I. triedy a diaľnic cestami nižších kategórií /zrýchlenie a realizácia komplexnej modernizácie cesty č. I/77 / úsek Spišská Bela – St. Ľubovňa - Bardejov – Svidník na</w:t>
      </w:r>
      <w:r>
        <w:rPr>
          <w:rFonts w:cs="Times New Roman"/>
        </w:rPr>
        <w:t> </w:t>
      </w:r>
      <w:r>
        <w:rPr>
          <w:rFonts w:cs="Times New Roman"/>
          <w:shd w:val="clear" w:color="auto" w:fill="FFFFFF"/>
        </w:rPr>
        <w:t>základe výsledkov štúdie realizovateľnosti v rozsahu finančných možností rezortu</w:t>
      </w:r>
      <w:r w:rsidR="00B55BF9">
        <w:rPr>
          <w:rFonts w:cs="Times New Roman"/>
          <w:shd w:val="clear" w:color="auto" w:fill="FFFFFF"/>
        </w:rPr>
        <w:t xml:space="preserve"> a s prihliadnutím na možné financovanie v rámci nového programového obdobia 2020+</w:t>
      </w:r>
      <w:r>
        <w:rPr>
          <w:rFonts w:cs="Times New Roman"/>
          <w:shd w:val="clear" w:color="auto" w:fill="FFFFFF"/>
        </w:rPr>
        <w:t xml:space="preserve">/ </w:t>
      </w:r>
    </w:p>
    <w:p w:rsidR="00332909" w:rsidRDefault="00332909" w:rsidP="00332909">
      <w:pPr>
        <w:ind w:left="426"/>
        <w:rPr>
          <w:rFonts w:cs="Times New Roman"/>
        </w:rPr>
      </w:pPr>
      <w:r>
        <w:rPr>
          <w:rFonts w:cs="Times New Roman"/>
        </w:rPr>
        <w:t>G.</w:t>
      </w:r>
      <w:r w:rsidR="00003C58">
        <w:rPr>
          <w:rFonts w:cs="Times New Roman"/>
        </w:rPr>
        <w:t>6</w:t>
      </w:r>
      <w:r>
        <w:rPr>
          <w:rFonts w:cs="Times New Roman"/>
        </w:rPr>
        <w:t xml:space="preserve"> V prípade pre NRO relevantných výziev z EŠIF dôsledne vyžadovať zvýhodnenie NRO v súlade s akčnými plánmi.</w:t>
      </w:r>
    </w:p>
    <w:p w:rsidR="00332909" w:rsidRDefault="00332909" w:rsidP="00332909">
      <w:pPr>
        <w:ind w:left="426"/>
        <w:rPr>
          <w:rFonts w:cs="Times New Roman"/>
        </w:rPr>
      </w:pPr>
      <w:r>
        <w:rPr>
          <w:rFonts w:cs="Times New Roman"/>
        </w:rPr>
        <w:t>G.</w:t>
      </w:r>
      <w:r w:rsidR="00003C58">
        <w:rPr>
          <w:rFonts w:cs="Times New Roman"/>
        </w:rPr>
        <w:t>7</w:t>
      </w:r>
      <w:r>
        <w:rPr>
          <w:rFonts w:cs="Times New Roman"/>
        </w:rPr>
        <w:t xml:space="preserve"> Okres Bardejov je zaradený v rámci KURS medzi centra druhej skupiny, a v tejto do prvej podskupiny: Bardejov. Navrhujeme prehodnotiť klasifikáciu ťažísk osídlenia v rámci Koncepcie územného rozvoja Slovenska / KURS/ s preradením okresu Bardejov /bardejovské ťažisko osídlenia/ z tretej úrovne prvej skupiny  ťažiska osídlenia  do ťažiska osídlenia druhej úrovne. </w:t>
      </w:r>
    </w:p>
    <w:p w:rsidR="00332909" w:rsidRDefault="00332909" w:rsidP="00A9359B">
      <w:pPr>
        <w:spacing w:after="0"/>
        <w:ind w:left="426"/>
        <w:rPr>
          <w:rFonts w:cs="Times New Roman"/>
        </w:rPr>
      </w:pPr>
      <w:r>
        <w:rPr>
          <w:rFonts w:cs="Times New Roman"/>
        </w:rPr>
        <w:t>G.</w:t>
      </w:r>
      <w:r w:rsidR="00003C58">
        <w:rPr>
          <w:rFonts w:cs="Times New Roman"/>
        </w:rPr>
        <w:t>8</w:t>
      </w:r>
      <w:r>
        <w:rPr>
          <w:rFonts w:cs="Times New Roman"/>
        </w:rPr>
        <w:t xml:space="preserve"> Upraviť a prispôsobiť systém na podporu farmárov k cielenej podpore malých farmárov, ktorí zachovávajú vidiecky ráz krajiny. Existujúcu nevhodnú štruktúru fariem riešiť prostredníctvom zákona o pôde, zmenami v oblasti priamych platieb a zmenou PRV, ktoré je orientované na veľké farmy.</w:t>
      </w:r>
    </w:p>
    <w:p w:rsidR="00332909" w:rsidRDefault="00332909" w:rsidP="00332909">
      <w:pPr>
        <w:pStyle w:val="Nadpis2"/>
        <w:rPr>
          <w:rFonts w:cs="Times New Roman"/>
          <w:sz w:val="22"/>
          <w:szCs w:val="22"/>
        </w:rPr>
      </w:pPr>
      <w:bookmarkStart w:id="91" w:name="_Toc517084365"/>
      <w:bookmarkStart w:id="92" w:name="_Toc511211891"/>
      <w:bookmarkStart w:id="93" w:name="_Toc9"/>
      <w:r>
        <w:rPr>
          <w:rFonts w:cs="Times New Roman"/>
          <w:sz w:val="22"/>
          <w:szCs w:val="22"/>
        </w:rPr>
        <w:t>H. Zdroje financovania Akčného plánu</w:t>
      </w:r>
      <w:bookmarkEnd w:id="91"/>
      <w:r>
        <w:rPr>
          <w:rFonts w:cs="Times New Roman"/>
          <w:sz w:val="22"/>
          <w:szCs w:val="22"/>
        </w:rPr>
        <w:t xml:space="preserve"> </w:t>
      </w:r>
      <w:bookmarkEnd w:id="92"/>
      <w:bookmarkEnd w:id="93"/>
    </w:p>
    <w:p w:rsidR="00332909" w:rsidRDefault="00332909" w:rsidP="00825941">
      <w:pPr>
        <w:rPr>
          <w:rFonts w:cs="Times New Roman"/>
          <w:b/>
        </w:rPr>
      </w:pPr>
      <w:r>
        <w:rPr>
          <w:rFonts w:cs="Times New Roman"/>
        </w:rPr>
        <w:t xml:space="preserve">Z celkovej odhadovanej finančnej investície v rokoch 2018 – 2022 vo výške cca. </w:t>
      </w:r>
      <w:r w:rsidR="00825941">
        <w:rPr>
          <w:rFonts w:cs="Times New Roman"/>
          <w:b/>
        </w:rPr>
        <w:t>169</w:t>
      </w:r>
      <w:r>
        <w:rPr>
          <w:rFonts w:cs="Times New Roman"/>
          <w:b/>
        </w:rPr>
        <w:t xml:space="preserve"> miliónov</w:t>
      </w:r>
      <w:r>
        <w:rPr>
          <w:rFonts w:cs="Times New Roman"/>
        </w:rPr>
        <w:t xml:space="preserve"> </w:t>
      </w:r>
      <w:r>
        <w:rPr>
          <w:rFonts w:cs="Times New Roman"/>
          <w:b/>
        </w:rPr>
        <w:t>eur</w:t>
      </w:r>
      <w:r>
        <w:rPr>
          <w:rFonts w:cs="Times New Roman"/>
        </w:rPr>
        <w:t xml:space="preserve"> </w:t>
      </w:r>
      <w:r>
        <w:rPr>
          <w:rFonts w:cs="Times New Roman"/>
          <w:b/>
        </w:rPr>
        <w:t xml:space="preserve">sa predpokladá krytie z verejných zdrojov </w:t>
      </w:r>
      <w:r w:rsidR="00653E31">
        <w:rPr>
          <w:rFonts w:cs="Times New Roman"/>
          <w:b/>
        </w:rPr>
        <w:t>z programov spolufinancovaných z</w:t>
      </w:r>
      <w:r>
        <w:rPr>
          <w:rFonts w:cs="Times New Roman"/>
          <w:b/>
        </w:rPr>
        <w:t xml:space="preserve">EŠIF vo výške </w:t>
      </w:r>
      <w:r w:rsidR="00825941">
        <w:rPr>
          <w:rFonts w:cs="Times New Roman"/>
          <w:b/>
        </w:rPr>
        <w:t>60,9</w:t>
      </w:r>
      <w:r>
        <w:rPr>
          <w:rFonts w:cs="Times New Roman"/>
          <w:b/>
        </w:rPr>
        <w:t xml:space="preserve"> milióna eur</w:t>
      </w:r>
      <w:r w:rsidR="00653E31">
        <w:rPr>
          <w:rFonts w:cs="Times New Roman"/>
          <w:b/>
        </w:rPr>
        <w:t xml:space="preserve"> a </w:t>
      </w:r>
      <w:r>
        <w:rPr>
          <w:rFonts w:cs="Times New Roman"/>
          <w:b/>
        </w:rPr>
        <w:t>celková výška regionálneho príspevku bude 3 765 tis. eur.</w:t>
      </w:r>
    </w:p>
    <w:p w:rsidR="00332909" w:rsidRDefault="00332909" w:rsidP="00332909">
      <w:pPr>
        <w:widowControl w:val="0"/>
        <w:autoSpaceDE w:val="0"/>
        <w:autoSpaceDN w:val="0"/>
        <w:adjustRightInd w:val="0"/>
        <w:rPr>
          <w:rFonts w:cs="Times New Roman"/>
        </w:rPr>
      </w:pPr>
      <w:r>
        <w:rPr>
          <w:rFonts w:cs="Times New Roman"/>
        </w:rPr>
        <w:t xml:space="preserve">Všetky sumy uvádzané pri jednotlivých opatreniach sú indikatívne a budú detailne špecifikované až v rámci procesu realizácie opatrení. </w:t>
      </w:r>
    </w:p>
    <w:p w:rsidR="00332909" w:rsidRDefault="00332909" w:rsidP="00332909">
      <w:pPr>
        <w:rPr>
          <w:rFonts w:cs="Times New Roman"/>
        </w:rPr>
      </w:pPr>
      <w:r>
        <w:rPr>
          <w:rFonts w:cs="Times New Roman"/>
        </w:rPr>
        <w:t xml:space="preserve">Úspešnosť aktivít závisí od predloženia a schválenia príslušných projektových zámerov, ako aj od rozsahu súkromných zdrojov, efektivity zapojenia verejných zdrojov a možností štátneho rozpočtu. </w:t>
      </w:r>
    </w:p>
    <w:p w:rsidR="00332909" w:rsidRDefault="00332909" w:rsidP="00332909">
      <w:pPr>
        <w:rPr>
          <w:rStyle w:val="slostrany"/>
        </w:rPr>
      </w:pPr>
      <w:r>
        <w:rPr>
          <w:rStyle w:val="slostrany"/>
        </w:rPr>
        <w:t>Podmienkou podpory projektových zámerov, ktoré majú ambíciu byť financované z európskych programov, je ich súlad s cieľmi a oprávnenými aktivitami operačných programov a Programom rozvoja vidieka SR na roky 2014 – 2020, ako aj súlad so schválenými zámermi národných projektov a</w:t>
      </w:r>
      <w:r>
        <w:rPr>
          <w:rFonts w:cs="Times New Roman"/>
        </w:rPr>
        <w:t> </w:t>
      </w:r>
      <w:r>
        <w:rPr>
          <w:rStyle w:val="slostrany"/>
          <w:rFonts w:cs="Times New Roman"/>
        </w:rPr>
        <w:t>podmienkami dopytovo orientovaných projektových výziev.</w:t>
      </w:r>
    </w:p>
    <w:p w:rsidR="00332909" w:rsidRDefault="00332909" w:rsidP="00332909">
      <w:pPr>
        <w:rPr>
          <w:rStyle w:val="slostrany"/>
        </w:rPr>
      </w:pPr>
      <w:r>
        <w:rPr>
          <w:rStyle w:val="slostrany"/>
        </w:rPr>
        <w:lastRenderedPageBreak/>
        <w:t>Z OP ĽZ (MPSVR SR) sú oprávnené iba výdavky súvisiace so vznikom nových pracovných miest pre UoZ.</w:t>
      </w:r>
    </w:p>
    <w:p w:rsidR="00332909" w:rsidRDefault="00332909" w:rsidP="00332909">
      <w:pPr>
        <w:rPr>
          <w:rFonts w:cs="Times New Roman"/>
        </w:rPr>
      </w:pPr>
      <w:r>
        <w:rPr>
          <w:rFonts w:cs="Times New Roman"/>
        </w:rPr>
        <w:t xml:space="preserve">V prípade, že opatrenie Akčného plánu bude financované z verejných zdrojov a bude smerovať subjektom vykonávajúcim hospodársku činnosť, bude posudzované a realizované podľa osobitných predpisov v oblasti štátnej pomoci, minimálnej pomoci a v súlade s podmienkami štátnych dotácií. </w:t>
      </w:r>
    </w:p>
    <w:p w:rsidR="00A9359B" w:rsidRDefault="00332909" w:rsidP="00332909">
      <w:pPr>
        <w:rPr>
          <w:rStyle w:val="slostrany"/>
        </w:rPr>
      </w:pPr>
      <w:r>
        <w:rPr>
          <w:rStyle w:val="slostrany"/>
        </w:rPr>
        <w:t>Prijímateľmi podpory RP sú subjekty podľa zákona č. 336/2015 Z. z..</w:t>
      </w:r>
    </w:p>
    <w:p w:rsidR="00332909" w:rsidRPr="00A9359B" w:rsidRDefault="00332909" w:rsidP="00A9359B">
      <w:pPr>
        <w:spacing w:after="0"/>
        <w:rPr>
          <w:rFonts w:cs="Times New Roman"/>
          <w:szCs w:val="24"/>
        </w:rPr>
      </w:pPr>
      <w:r>
        <w:rPr>
          <w:rFonts w:cs="Times New Roman"/>
          <w:szCs w:val="24"/>
        </w:rPr>
        <w:t>Tabuľka č. 13: Poskytnutie regionálne</w:t>
      </w:r>
      <w:r w:rsidR="00A9359B">
        <w:rPr>
          <w:rFonts w:cs="Times New Roman"/>
          <w:szCs w:val="24"/>
        </w:rPr>
        <w:t>ho príspevku pre okres Bardejov</w:t>
      </w:r>
    </w:p>
    <w:tbl>
      <w:tblPr>
        <w:tblW w:w="9288" w:type="dxa"/>
        <w:tblLook w:val="04A0" w:firstRow="1" w:lastRow="0" w:firstColumn="1" w:lastColumn="0" w:noHBand="0" w:noVBand="1"/>
      </w:tblPr>
      <w:tblGrid>
        <w:gridCol w:w="690"/>
        <w:gridCol w:w="3043"/>
        <w:gridCol w:w="1469"/>
        <w:gridCol w:w="2053"/>
        <w:gridCol w:w="1143"/>
        <w:gridCol w:w="890"/>
      </w:tblGrid>
      <w:tr w:rsidR="00332909" w:rsidRPr="001A55FA" w:rsidTr="005922EB">
        <w:trPr>
          <w:trHeight w:val="840"/>
        </w:trPr>
        <w:tc>
          <w:tcPr>
            <w:tcW w:w="9288" w:type="dxa"/>
            <w:gridSpan w:val="6"/>
            <w:tcBorders>
              <w:top w:val="single" w:sz="4" w:space="0" w:color="auto"/>
              <w:left w:val="single" w:sz="4" w:space="0" w:color="auto"/>
              <w:bottom w:val="single" w:sz="4" w:space="0" w:color="auto"/>
              <w:right w:val="single" w:sz="4" w:space="0" w:color="000000"/>
            </w:tcBorders>
            <w:shd w:val="clear" w:color="auto" w:fill="BFBFBF"/>
            <w:vAlign w:val="center"/>
            <w:hideMark/>
          </w:tcPr>
          <w:p w:rsidR="00332909" w:rsidRPr="001A55FA" w:rsidRDefault="001A55FA" w:rsidP="00C90BE5">
            <w:pPr>
              <w:spacing w:after="80" w:line="240" w:lineRule="auto"/>
              <w:contextualSpacing/>
              <w:jc w:val="center"/>
              <w:rPr>
                <w:rFonts w:eastAsia="Times New Roman" w:cs="Times New Roman"/>
                <w:b/>
                <w:bCs/>
              </w:rPr>
            </w:pPr>
            <w:r w:rsidRPr="001A55FA">
              <w:rPr>
                <w:rFonts w:eastAsia="Times New Roman" w:cs="Times New Roman"/>
                <w:b/>
                <w:bCs/>
              </w:rPr>
              <w:t>Prehľad výdavkov podľa p</w:t>
            </w:r>
            <w:r w:rsidR="00332909" w:rsidRPr="001A55FA">
              <w:rPr>
                <w:rFonts w:eastAsia="Times New Roman" w:cs="Times New Roman"/>
                <w:b/>
                <w:bCs/>
              </w:rPr>
              <w:t>rioritných oblastí a opatrení Akčného plánu NRO Bardejov</w:t>
            </w:r>
          </w:p>
        </w:tc>
      </w:tr>
      <w:tr w:rsidR="00332909" w:rsidRPr="001A55FA" w:rsidTr="005922EB">
        <w:trPr>
          <w:trHeight w:val="765"/>
        </w:trPr>
        <w:tc>
          <w:tcPr>
            <w:tcW w:w="3794" w:type="dxa"/>
            <w:gridSpan w:val="2"/>
            <w:tcBorders>
              <w:top w:val="single" w:sz="4" w:space="0" w:color="auto"/>
              <w:left w:val="single" w:sz="4" w:space="0" w:color="auto"/>
              <w:bottom w:val="nil"/>
              <w:right w:val="single" w:sz="4" w:space="0" w:color="auto"/>
            </w:tcBorders>
            <w:shd w:val="clear" w:color="auto" w:fill="D9D9D9"/>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Prioritná oblasť/ opatrenie</w:t>
            </w:r>
          </w:p>
        </w:tc>
        <w:tc>
          <w:tcPr>
            <w:tcW w:w="1492" w:type="dxa"/>
            <w:tcBorders>
              <w:top w:val="nil"/>
              <w:left w:val="nil"/>
              <w:bottom w:val="nil"/>
              <w:right w:val="single" w:sz="4" w:space="0" w:color="auto"/>
            </w:tcBorders>
            <w:shd w:val="clear" w:color="auto" w:fill="D9D9D9"/>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Celkový rozpočet v EUR</w:t>
            </w:r>
          </w:p>
        </w:tc>
        <w:tc>
          <w:tcPr>
            <w:tcW w:w="1940" w:type="dxa"/>
            <w:tcBorders>
              <w:top w:val="nil"/>
              <w:left w:val="nil"/>
              <w:bottom w:val="nil"/>
              <w:right w:val="single" w:sz="4" w:space="0" w:color="auto"/>
            </w:tcBorders>
            <w:shd w:val="clear" w:color="auto" w:fill="D9D9D9"/>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 xml:space="preserve">Výška </w:t>
            </w:r>
            <w:r w:rsidR="00024A1D" w:rsidRPr="00024A1D">
              <w:rPr>
                <w:rFonts w:eastAsia="Times New Roman" w:cs="Times New Roman"/>
                <w:b/>
                <w:bCs/>
              </w:rPr>
              <w:t>verejných zdrojov z programov spolufinancovaných z</w:t>
            </w:r>
            <w:r w:rsidR="00024A1D">
              <w:rPr>
                <w:rFonts w:eastAsia="Times New Roman" w:cs="Times New Roman"/>
                <w:b/>
                <w:bCs/>
              </w:rPr>
              <w:t xml:space="preserve"> </w:t>
            </w:r>
            <w:r w:rsidRPr="001A55FA">
              <w:rPr>
                <w:rFonts w:eastAsia="Times New Roman" w:cs="Times New Roman"/>
                <w:b/>
                <w:bCs/>
              </w:rPr>
              <w:t>EŠIF v EUR</w:t>
            </w:r>
          </w:p>
        </w:tc>
        <w:tc>
          <w:tcPr>
            <w:tcW w:w="1160" w:type="dxa"/>
            <w:tcBorders>
              <w:top w:val="nil"/>
              <w:left w:val="nil"/>
              <w:bottom w:val="nil"/>
              <w:right w:val="single" w:sz="4" w:space="0" w:color="auto"/>
            </w:tcBorders>
            <w:shd w:val="clear" w:color="auto" w:fill="D9D9D9"/>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Výška RP v EUR</w:t>
            </w:r>
          </w:p>
        </w:tc>
        <w:tc>
          <w:tcPr>
            <w:tcW w:w="902" w:type="dxa"/>
            <w:tcBorders>
              <w:top w:val="nil"/>
              <w:left w:val="nil"/>
              <w:bottom w:val="nil"/>
              <w:right w:val="single" w:sz="4" w:space="0" w:color="auto"/>
            </w:tcBorders>
            <w:shd w:val="clear" w:color="auto" w:fill="D9D9D9"/>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Počet prac.  miest</w:t>
            </w:r>
          </w:p>
        </w:tc>
      </w:tr>
      <w:tr w:rsidR="00332909" w:rsidRPr="001A55FA" w:rsidTr="005922EB">
        <w:trPr>
          <w:trHeight w:val="630"/>
        </w:trPr>
        <w:tc>
          <w:tcPr>
            <w:tcW w:w="9288" w:type="dxa"/>
            <w:gridSpan w:val="6"/>
            <w:tcBorders>
              <w:top w:val="single" w:sz="4" w:space="0" w:color="auto"/>
              <w:left w:val="single" w:sz="4" w:space="0" w:color="auto"/>
              <w:bottom w:val="single" w:sz="4" w:space="0" w:color="auto"/>
              <w:right w:val="single" w:sz="4" w:space="0" w:color="000000"/>
            </w:tcBorders>
            <w:shd w:val="clear" w:color="auto" w:fill="BDD7EE"/>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A.   SYSTÉMOVÉ OPATRENIA NA PODPORU IMPLEMENTÁCIE  ROZVOJOVÝCH AKTIVÍT A FINANČNÝCH PODPÔR</w:t>
            </w:r>
          </w:p>
        </w:tc>
      </w:tr>
      <w:tr w:rsidR="00332909" w:rsidRPr="001A55FA" w:rsidTr="005922EB">
        <w:trPr>
          <w:trHeight w:val="416"/>
        </w:trPr>
        <w:tc>
          <w:tcPr>
            <w:tcW w:w="699" w:type="dxa"/>
            <w:tcBorders>
              <w:top w:val="nil"/>
              <w:left w:val="single" w:sz="4" w:space="0" w:color="auto"/>
              <w:bottom w:val="single" w:sz="4" w:space="0" w:color="auto"/>
              <w:right w:val="nil"/>
            </w:tcBorders>
            <w:vAlign w:val="center"/>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A1.</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 xml:space="preserve">Vytvorenie výboru </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0</w:t>
            </w:r>
          </w:p>
        </w:tc>
      </w:tr>
      <w:tr w:rsidR="00332909" w:rsidRPr="001A55FA" w:rsidTr="005922EB">
        <w:trPr>
          <w:trHeight w:val="550"/>
        </w:trPr>
        <w:tc>
          <w:tcPr>
            <w:tcW w:w="699" w:type="dxa"/>
            <w:tcBorders>
              <w:top w:val="nil"/>
              <w:left w:val="single" w:sz="4" w:space="0" w:color="auto"/>
              <w:bottom w:val="single" w:sz="4" w:space="0" w:color="auto"/>
              <w:right w:val="nil"/>
            </w:tcBorders>
            <w:vAlign w:val="center"/>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A2.</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Vytvorenie Centra podpory regionálneho rozvoja okresu Bardejov</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510 000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510 000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4</w:t>
            </w:r>
          </w:p>
        </w:tc>
      </w:tr>
      <w:tr w:rsidR="00332909" w:rsidRPr="001A55FA" w:rsidTr="005922EB">
        <w:trPr>
          <w:trHeight w:val="283"/>
        </w:trPr>
        <w:tc>
          <w:tcPr>
            <w:tcW w:w="699" w:type="dxa"/>
            <w:tcBorders>
              <w:top w:val="nil"/>
              <w:left w:val="single" w:sz="4" w:space="0" w:color="auto"/>
              <w:bottom w:val="nil"/>
              <w:right w:val="nil"/>
            </w:tcBorders>
            <w:hideMark/>
          </w:tcPr>
          <w:p w:rsidR="00332909" w:rsidRPr="001A55FA" w:rsidRDefault="00332909" w:rsidP="00C90BE5">
            <w:pPr>
              <w:spacing w:after="80" w:line="240" w:lineRule="auto"/>
              <w:contextualSpacing/>
              <w:jc w:val="right"/>
              <w:rPr>
                <w:rFonts w:eastAsia="Times New Roman" w:cs="Times New Roman"/>
                <w:b/>
                <w:bCs/>
              </w:rPr>
            </w:pPr>
            <w:r w:rsidRPr="001A55FA">
              <w:rPr>
                <w:rFonts w:eastAsia="Times New Roman" w:cs="Times New Roman"/>
                <w:b/>
                <w:bCs/>
              </w:rPr>
              <w:t> </w:t>
            </w:r>
          </w:p>
        </w:tc>
        <w:tc>
          <w:tcPr>
            <w:tcW w:w="3095" w:type="dxa"/>
            <w:tcBorders>
              <w:top w:val="nil"/>
              <w:left w:val="single" w:sz="4" w:space="0" w:color="auto"/>
              <w:bottom w:val="single" w:sz="4" w:space="0" w:color="auto"/>
              <w:right w:val="single" w:sz="4" w:space="0" w:color="auto"/>
            </w:tcBorders>
            <w:shd w:val="clear" w:color="auto" w:fill="DDEBF7"/>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Spolu</w:t>
            </w:r>
          </w:p>
        </w:tc>
        <w:tc>
          <w:tcPr>
            <w:tcW w:w="149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510 000</w:t>
            </w:r>
          </w:p>
        </w:tc>
        <w:tc>
          <w:tcPr>
            <w:tcW w:w="194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0</w:t>
            </w:r>
          </w:p>
        </w:tc>
        <w:tc>
          <w:tcPr>
            <w:tcW w:w="116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510 000</w:t>
            </w:r>
          </w:p>
        </w:tc>
        <w:tc>
          <w:tcPr>
            <w:tcW w:w="90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4</w:t>
            </w:r>
          </w:p>
        </w:tc>
      </w:tr>
      <w:tr w:rsidR="00332909" w:rsidRPr="001A55FA" w:rsidTr="005922EB">
        <w:trPr>
          <w:trHeight w:val="420"/>
        </w:trPr>
        <w:tc>
          <w:tcPr>
            <w:tcW w:w="9288" w:type="dxa"/>
            <w:gridSpan w:val="6"/>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B.    ROZVOJ REGIONÁLNEJ EKONOMIKY A INOVÁCIÍ  </w:t>
            </w:r>
          </w:p>
        </w:tc>
      </w:tr>
      <w:tr w:rsidR="00332909" w:rsidRPr="001A55FA" w:rsidTr="005922EB">
        <w:trPr>
          <w:trHeight w:val="600"/>
        </w:trPr>
        <w:tc>
          <w:tcPr>
            <w:tcW w:w="699" w:type="dxa"/>
            <w:tcBorders>
              <w:top w:val="nil"/>
              <w:left w:val="single" w:sz="4" w:space="0" w:color="auto"/>
              <w:bottom w:val="single" w:sz="4" w:space="0" w:color="auto"/>
              <w:right w:val="nil"/>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B1.</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konkurencieschopnosti malých a stredných podnikov</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63 212 113</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14 092 113</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575 000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461</w:t>
            </w:r>
          </w:p>
        </w:tc>
      </w:tr>
      <w:tr w:rsidR="00332909" w:rsidRPr="001A55FA" w:rsidTr="005922EB">
        <w:trPr>
          <w:trHeight w:val="525"/>
        </w:trPr>
        <w:tc>
          <w:tcPr>
            <w:tcW w:w="699" w:type="dxa"/>
            <w:tcBorders>
              <w:top w:val="nil"/>
              <w:left w:val="single" w:sz="4" w:space="0" w:color="auto"/>
              <w:bottom w:val="single" w:sz="4" w:space="0" w:color="auto"/>
              <w:right w:val="nil"/>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B2.</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oživenia poľnohospodárstva a lesníctva</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15 652 564</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6 718 000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533 000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389</w:t>
            </w:r>
          </w:p>
        </w:tc>
      </w:tr>
      <w:tr w:rsidR="00332909" w:rsidRPr="001A55FA" w:rsidTr="005922EB">
        <w:trPr>
          <w:trHeight w:val="900"/>
        </w:trPr>
        <w:tc>
          <w:tcPr>
            <w:tcW w:w="699" w:type="dxa"/>
            <w:tcBorders>
              <w:top w:val="nil"/>
              <w:left w:val="single" w:sz="4" w:space="0" w:color="auto"/>
              <w:bottom w:val="single" w:sz="4" w:space="0" w:color="auto"/>
              <w:right w:val="nil"/>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B3.</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Rozvoj infraštruktúry cestovného ruchu a investície do zachovania kultúrneho dedičstva</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19 889 784</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9 706 500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340 000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74</w:t>
            </w:r>
          </w:p>
        </w:tc>
      </w:tr>
      <w:tr w:rsidR="00332909" w:rsidRPr="001A55FA" w:rsidTr="005922EB">
        <w:trPr>
          <w:trHeight w:val="420"/>
        </w:trPr>
        <w:tc>
          <w:tcPr>
            <w:tcW w:w="699" w:type="dxa"/>
            <w:tcBorders>
              <w:top w:val="nil"/>
              <w:left w:val="single" w:sz="4" w:space="0" w:color="auto"/>
              <w:bottom w:val="nil"/>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 </w:t>
            </w:r>
          </w:p>
        </w:tc>
        <w:tc>
          <w:tcPr>
            <w:tcW w:w="3095" w:type="dxa"/>
            <w:tcBorders>
              <w:top w:val="nil"/>
              <w:left w:val="single" w:sz="4" w:space="0" w:color="auto"/>
              <w:bottom w:val="single" w:sz="4" w:space="0" w:color="auto"/>
              <w:right w:val="single" w:sz="4" w:space="0" w:color="auto"/>
            </w:tcBorders>
            <w:shd w:val="clear" w:color="auto" w:fill="DDEBF7"/>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Spolu</w:t>
            </w:r>
          </w:p>
        </w:tc>
        <w:tc>
          <w:tcPr>
            <w:tcW w:w="149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98 754 461</w:t>
            </w:r>
          </w:p>
        </w:tc>
        <w:tc>
          <w:tcPr>
            <w:tcW w:w="194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30 516 613</w:t>
            </w:r>
          </w:p>
        </w:tc>
        <w:tc>
          <w:tcPr>
            <w:tcW w:w="116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1 448 000</w:t>
            </w:r>
          </w:p>
        </w:tc>
        <w:tc>
          <w:tcPr>
            <w:tcW w:w="90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924</w:t>
            </w:r>
          </w:p>
        </w:tc>
      </w:tr>
      <w:tr w:rsidR="00332909" w:rsidRPr="001A55FA" w:rsidTr="005922EB">
        <w:trPr>
          <w:trHeight w:val="420"/>
        </w:trPr>
        <w:tc>
          <w:tcPr>
            <w:tcW w:w="9288" w:type="dxa"/>
            <w:gridSpan w:val="6"/>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C.    VZDELÁVANIE A ADAPTÁCIA PRACOVNEJ SILY NA POTREBY TRHU </w:t>
            </w:r>
          </w:p>
        </w:tc>
      </w:tr>
      <w:tr w:rsidR="00332909" w:rsidRPr="001A55FA" w:rsidTr="005922EB">
        <w:trPr>
          <w:trHeight w:val="600"/>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C1.</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predprimárneho a primárneho vzdelávania</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800 000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760 000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30 000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5</w:t>
            </w:r>
          </w:p>
        </w:tc>
      </w:tr>
      <w:tr w:rsidR="00332909" w:rsidRPr="001A55FA" w:rsidTr="005922EB">
        <w:trPr>
          <w:trHeight w:val="721"/>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C2.</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stredoškolských centier prípravy a adaptácie na budúce povolanie</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1 912 000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1 540 000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372 000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30</w:t>
            </w:r>
          </w:p>
        </w:tc>
      </w:tr>
      <w:tr w:rsidR="00332909" w:rsidRPr="001A55FA" w:rsidTr="005922EB">
        <w:trPr>
          <w:trHeight w:val="806"/>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C3.</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sociálnej ekonomiky a lokálnej zamestnanosti pre adaptáciu nízko kvalifikovanej pracovnej sily</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7 462 900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6 407 900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555 000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62</w:t>
            </w:r>
          </w:p>
        </w:tc>
      </w:tr>
      <w:tr w:rsidR="00332909" w:rsidRPr="001A55FA" w:rsidTr="005922EB">
        <w:trPr>
          <w:trHeight w:val="420"/>
        </w:trPr>
        <w:tc>
          <w:tcPr>
            <w:tcW w:w="699" w:type="dxa"/>
            <w:tcBorders>
              <w:top w:val="nil"/>
              <w:left w:val="single" w:sz="4" w:space="0" w:color="auto"/>
              <w:bottom w:val="nil"/>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 </w:t>
            </w:r>
          </w:p>
        </w:tc>
        <w:tc>
          <w:tcPr>
            <w:tcW w:w="3095" w:type="dxa"/>
            <w:tcBorders>
              <w:top w:val="nil"/>
              <w:left w:val="single" w:sz="4" w:space="0" w:color="auto"/>
              <w:bottom w:val="single" w:sz="4" w:space="0" w:color="auto"/>
              <w:right w:val="single" w:sz="4" w:space="0" w:color="auto"/>
            </w:tcBorders>
            <w:shd w:val="clear" w:color="auto" w:fill="DDEBF7"/>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Spolu</w:t>
            </w:r>
          </w:p>
        </w:tc>
        <w:tc>
          <w:tcPr>
            <w:tcW w:w="1492" w:type="dxa"/>
            <w:tcBorders>
              <w:top w:val="nil"/>
              <w:left w:val="nil"/>
              <w:bottom w:val="nil"/>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10 174 900</w:t>
            </w:r>
          </w:p>
        </w:tc>
        <w:tc>
          <w:tcPr>
            <w:tcW w:w="1940" w:type="dxa"/>
            <w:tcBorders>
              <w:top w:val="nil"/>
              <w:left w:val="nil"/>
              <w:bottom w:val="nil"/>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8 707 900</w:t>
            </w:r>
          </w:p>
        </w:tc>
        <w:tc>
          <w:tcPr>
            <w:tcW w:w="116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957 000</w:t>
            </w:r>
          </w:p>
        </w:tc>
        <w:tc>
          <w:tcPr>
            <w:tcW w:w="90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97</w:t>
            </w:r>
          </w:p>
        </w:tc>
      </w:tr>
      <w:tr w:rsidR="00332909" w:rsidRPr="001A55FA" w:rsidTr="005922EB">
        <w:trPr>
          <w:trHeight w:val="420"/>
        </w:trPr>
        <w:tc>
          <w:tcPr>
            <w:tcW w:w="9288" w:type="dxa"/>
            <w:gridSpan w:val="6"/>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D.   BUDOVANIE INFRAŠT</w:t>
            </w:r>
            <w:r w:rsidR="00943F0A">
              <w:rPr>
                <w:rFonts w:eastAsia="Times New Roman" w:cs="Times New Roman"/>
                <w:b/>
                <w:bCs/>
              </w:rPr>
              <w:t>RUKTÚRY, ZVÝŠENIE KVALITY</w:t>
            </w:r>
            <w:r w:rsidRPr="001A55FA">
              <w:rPr>
                <w:rFonts w:eastAsia="Times New Roman" w:cs="Times New Roman"/>
                <w:b/>
                <w:bCs/>
              </w:rPr>
              <w:t xml:space="preserve"> A DOSTUPNOSTI SLUŽIEB </w:t>
            </w:r>
          </w:p>
        </w:tc>
      </w:tr>
      <w:tr w:rsidR="00332909" w:rsidRPr="001A55FA" w:rsidTr="005922EB">
        <w:trPr>
          <w:trHeight w:val="300"/>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D1.</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Dopravná infraštruktúra okresu</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7 230 000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150 000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25</w:t>
            </w:r>
          </w:p>
        </w:tc>
      </w:tr>
      <w:tr w:rsidR="00332909" w:rsidRPr="001A55FA" w:rsidTr="005922EB">
        <w:trPr>
          <w:trHeight w:val="600"/>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lastRenderedPageBreak/>
              <w:t>D2.</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 xml:space="preserve">Podpora nájomného bývania, </w:t>
            </w:r>
            <w:r w:rsidRPr="001A55FA">
              <w:rPr>
                <w:rFonts w:eastAsia="Times New Roman" w:cs="Times New Roman"/>
                <w:bCs/>
              </w:rPr>
              <w:t>príprava územia pre bytovú výstavbu a podpora výstavby nájomných bytov nižšieho štandardu</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2 860 000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1 100 000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50 000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27</w:t>
            </w:r>
          </w:p>
        </w:tc>
      </w:tr>
      <w:tr w:rsidR="00332909" w:rsidRPr="001A55FA" w:rsidTr="005922EB">
        <w:trPr>
          <w:trHeight w:val="691"/>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D3.</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budovania integrovaných zdravotníckych a sociálnych zariadení</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457D06">
            <w:pPr>
              <w:spacing w:after="80" w:line="240" w:lineRule="auto"/>
              <w:contextualSpacing/>
              <w:jc w:val="center"/>
              <w:rPr>
                <w:rFonts w:eastAsia="Times New Roman" w:cs="Times New Roman"/>
              </w:rPr>
            </w:pPr>
            <w:r w:rsidRPr="001A55FA">
              <w:rPr>
                <w:rFonts w:eastAsia="Times New Roman" w:cs="Times New Roman"/>
              </w:rPr>
              <w:t>8 </w:t>
            </w:r>
            <w:r w:rsidR="00457D06">
              <w:rPr>
                <w:rFonts w:eastAsia="Times New Roman" w:cs="Times New Roman"/>
              </w:rPr>
              <w:t>922</w:t>
            </w:r>
            <w:r w:rsidR="00457D06" w:rsidRPr="001A55FA">
              <w:rPr>
                <w:rFonts w:eastAsia="Times New Roman" w:cs="Times New Roman"/>
              </w:rPr>
              <w:t xml:space="preserve"> </w:t>
            </w:r>
            <w:r w:rsidRPr="001A55FA">
              <w:rPr>
                <w:rFonts w:eastAsia="Times New Roman" w:cs="Times New Roman"/>
              </w:rPr>
              <w:t>000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2 </w:t>
            </w:r>
            <w:r w:rsidR="00457D06">
              <w:rPr>
                <w:rFonts w:eastAsia="Times New Roman" w:cs="Times New Roman"/>
              </w:rPr>
              <w:t>800</w:t>
            </w:r>
            <w:r w:rsidRPr="001A55FA">
              <w:rPr>
                <w:rFonts w:eastAsia="Times New Roman" w:cs="Times New Roman"/>
              </w:rPr>
              <w:t xml:space="preserve">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155 000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112</w:t>
            </w:r>
          </w:p>
        </w:tc>
      </w:tr>
      <w:tr w:rsidR="00332909" w:rsidRPr="001A55FA" w:rsidTr="005922EB">
        <w:trPr>
          <w:trHeight w:val="489"/>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D4.</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cs="Times New Roman"/>
              </w:rPr>
              <w:t>Podpora kultúrno-spoločenskej a športovej infraštruktúry okresu.</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14 061 105</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4 000 000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185 000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56</w:t>
            </w:r>
          </w:p>
        </w:tc>
      </w:tr>
      <w:tr w:rsidR="00332909" w:rsidRPr="001A55FA" w:rsidTr="005922EB">
        <w:trPr>
          <w:trHeight w:val="420"/>
        </w:trPr>
        <w:tc>
          <w:tcPr>
            <w:tcW w:w="699" w:type="dxa"/>
            <w:tcBorders>
              <w:top w:val="nil"/>
              <w:left w:val="single" w:sz="4" w:space="0" w:color="auto"/>
              <w:bottom w:val="nil"/>
              <w:right w:val="nil"/>
            </w:tcBorders>
            <w:noWrap/>
            <w:vAlign w:val="center"/>
            <w:hideMark/>
          </w:tcPr>
          <w:p w:rsidR="00332909" w:rsidRPr="001A55FA" w:rsidRDefault="00332909" w:rsidP="00C90BE5">
            <w:pPr>
              <w:spacing w:after="80" w:line="240" w:lineRule="auto"/>
              <w:contextualSpacing/>
              <w:jc w:val="right"/>
              <w:rPr>
                <w:rFonts w:eastAsia="Times New Roman" w:cs="Times New Roman"/>
                <w:b/>
                <w:bCs/>
              </w:rPr>
            </w:pPr>
            <w:r w:rsidRPr="001A55FA">
              <w:rPr>
                <w:rFonts w:eastAsia="Times New Roman" w:cs="Times New Roman"/>
                <w:b/>
                <w:bCs/>
              </w:rPr>
              <w:t> </w:t>
            </w:r>
          </w:p>
        </w:tc>
        <w:tc>
          <w:tcPr>
            <w:tcW w:w="3095" w:type="dxa"/>
            <w:tcBorders>
              <w:top w:val="nil"/>
              <w:left w:val="single" w:sz="4" w:space="0" w:color="auto"/>
              <w:bottom w:val="single" w:sz="4" w:space="0" w:color="auto"/>
              <w:right w:val="single" w:sz="4" w:space="0" w:color="auto"/>
            </w:tcBorders>
            <w:shd w:val="clear" w:color="auto" w:fill="DDEBF7"/>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Spolu</w:t>
            </w:r>
          </w:p>
        </w:tc>
        <w:tc>
          <w:tcPr>
            <w:tcW w:w="149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457D06">
            <w:pPr>
              <w:spacing w:after="80" w:line="240" w:lineRule="auto"/>
              <w:contextualSpacing/>
              <w:jc w:val="center"/>
              <w:rPr>
                <w:rFonts w:eastAsia="Times New Roman" w:cs="Times New Roman"/>
              </w:rPr>
            </w:pPr>
            <w:r w:rsidRPr="001A55FA">
              <w:rPr>
                <w:rFonts w:eastAsia="Times New Roman" w:cs="Times New Roman"/>
              </w:rPr>
              <w:t>3</w:t>
            </w:r>
            <w:r w:rsidR="00457D06">
              <w:rPr>
                <w:rFonts w:eastAsia="Times New Roman" w:cs="Times New Roman"/>
              </w:rPr>
              <w:t>3</w:t>
            </w:r>
            <w:r w:rsidRPr="001A55FA">
              <w:rPr>
                <w:rFonts w:eastAsia="Times New Roman" w:cs="Times New Roman"/>
              </w:rPr>
              <w:t> </w:t>
            </w:r>
            <w:r w:rsidR="00457D06">
              <w:rPr>
                <w:rFonts w:eastAsia="Times New Roman" w:cs="Times New Roman"/>
              </w:rPr>
              <w:t>073</w:t>
            </w:r>
            <w:r w:rsidR="00457D06" w:rsidRPr="001A55FA">
              <w:rPr>
                <w:rFonts w:eastAsia="Times New Roman" w:cs="Times New Roman"/>
              </w:rPr>
              <w:t xml:space="preserve"> </w:t>
            </w:r>
            <w:r w:rsidRPr="001A55FA">
              <w:rPr>
                <w:rFonts w:eastAsia="Times New Roman" w:cs="Times New Roman"/>
              </w:rPr>
              <w:t>105</w:t>
            </w:r>
          </w:p>
        </w:tc>
        <w:tc>
          <w:tcPr>
            <w:tcW w:w="194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457D06">
            <w:pPr>
              <w:spacing w:after="80" w:line="240" w:lineRule="auto"/>
              <w:contextualSpacing/>
              <w:jc w:val="center"/>
              <w:rPr>
                <w:rFonts w:eastAsia="Times New Roman" w:cs="Times New Roman"/>
              </w:rPr>
            </w:pPr>
            <w:r w:rsidRPr="001A55FA">
              <w:rPr>
                <w:rFonts w:eastAsia="Times New Roman" w:cs="Times New Roman"/>
              </w:rPr>
              <w:t>7 </w:t>
            </w:r>
            <w:r w:rsidR="00457D06">
              <w:rPr>
                <w:rFonts w:eastAsia="Times New Roman" w:cs="Times New Roman"/>
              </w:rPr>
              <w:t>900</w:t>
            </w:r>
            <w:r w:rsidR="00457D06" w:rsidRPr="001A55FA">
              <w:rPr>
                <w:rFonts w:eastAsia="Times New Roman" w:cs="Times New Roman"/>
              </w:rPr>
              <w:t xml:space="preserve"> </w:t>
            </w:r>
            <w:r w:rsidRPr="001A55FA">
              <w:rPr>
                <w:rFonts w:eastAsia="Times New Roman" w:cs="Times New Roman"/>
              </w:rPr>
              <w:t>000</w:t>
            </w:r>
          </w:p>
        </w:tc>
        <w:tc>
          <w:tcPr>
            <w:tcW w:w="116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540 000</w:t>
            </w:r>
          </w:p>
        </w:tc>
        <w:tc>
          <w:tcPr>
            <w:tcW w:w="90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220</w:t>
            </w:r>
          </w:p>
        </w:tc>
      </w:tr>
      <w:tr w:rsidR="00332909" w:rsidRPr="001A55FA" w:rsidTr="005922EB">
        <w:trPr>
          <w:trHeight w:val="420"/>
        </w:trPr>
        <w:tc>
          <w:tcPr>
            <w:tcW w:w="9288" w:type="dxa"/>
            <w:gridSpan w:val="6"/>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E.    STAROSTLIVOSŤ O ŽIVOTNÉ PROSTREDIE  </w:t>
            </w:r>
          </w:p>
        </w:tc>
      </w:tr>
      <w:tr w:rsidR="00332909" w:rsidRPr="001A55FA" w:rsidTr="005922EB">
        <w:trPr>
          <w:trHeight w:val="300"/>
        </w:trPr>
        <w:tc>
          <w:tcPr>
            <w:tcW w:w="699" w:type="dxa"/>
            <w:tcBorders>
              <w:top w:val="nil"/>
              <w:left w:val="single" w:sz="4" w:space="0" w:color="auto"/>
              <w:bottom w:val="single" w:sz="4" w:space="0" w:color="auto"/>
              <w:right w:val="nil"/>
            </w:tcBorders>
            <w:noWrap/>
            <w:vAlign w:val="center"/>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E1.</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Zníženie energetickej náročnosti</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156 989</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132 000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25 000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5</w:t>
            </w:r>
          </w:p>
        </w:tc>
      </w:tr>
      <w:tr w:rsidR="00332909" w:rsidRPr="001A55FA" w:rsidTr="005922EB">
        <w:trPr>
          <w:trHeight w:val="373"/>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E2.</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Výstavba vodárenskej infraštruktúry</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1 822 130</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450 000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7</w:t>
            </w:r>
          </w:p>
        </w:tc>
      </w:tr>
      <w:tr w:rsidR="00332909" w:rsidRPr="001A55FA" w:rsidTr="005922EB">
        <w:trPr>
          <w:trHeight w:val="550"/>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E3.</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eastAsia="Times New Roman" w:cs="Times New Roman"/>
              </w:rPr>
              <w:t>Podpora triedenia a zhodnocovania odpadov</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10 706 556</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6 200 000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200 000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68</w:t>
            </w:r>
          </w:p>
        </w:tc>
      </w:tr>
      <w:tr w:rsidR="00332909" w:rsidRPr="001A55FA" w:rsidTr="005922EB">
        <w:trPr>
          <w:trHeight w:val="277"/>
        </w:trPr>
        <w:tc>
          <w:tcPr>
            <w:tcW w:w="699" w:type="dxa"/>
            <w:tcBorders>
              <w:top w:val="nil"/>
              <w:left w:val="single" w:sz="4" w:space="0" w:color="auto"/>
              <w:bottom w:val="single" w:sz="4" w:space="0" w:color="auto"/>
              <w:right w:val="nil"/>
            </w:tcBorders>
            <w:noWrap/>
            <w:hideMark/>
          </w:tcPr>
          <w:p w:rsidR="00332909" w:rsidRPr="001A55FA" w:rsidRDefault="00332909" w:rsidP="00C90BE5">
            <w:pPr>
              <w:spacing w:after="80" w:line="240" w:lineRule="auto"/>
              <w:contextualSpacing/>
              <w:jc w:val="right"/>
              <w:rPr>
                <w:rFonts w:eastAsia="Times New Roman" w:cs="Times New Roman"/>
              </w:rPr>
            </w:pPr>
            <w:r w:rsidRPr="001A55FA">
              <w:rPr>
                <w:rFonts w:eastAsia="Times New Roman" w:cs="Times New Roman"/>
              </w:rPr>
              <w:t>E4.</w:t>
            </w:r>
          </w:p>
        </w:tc>
        <w:tc>
          <w:tcPr>
            <w:tcW w:w="3095" w:type="dxa"/>
            <w:tcBorders>
              <w:top w:val="nil"/>
              <w:left w:val="nil"/>
              <w:bottom w:val="single" w:sz="4" w:space="0" w:color="auto"/>
              <w:right w:val="single" w:sz="4" w:space="0" w:color="auto"/>
            </w:tcBorders>
            <w:vAlign w:val="center"/>
            <w:hideMark/>
          </w:tcPr>
          <w:p w:rsidR="00332909" w:rsidRPr="001A55FA" w:rsidRDefault="00332909" w:rsidP="00C90BE5">
            <w:pPr>
              <w:spacing w:after="80" w:line="240" w:lineRule="auto"/>
              <w:contextualSpacing/>
              <w:rPr>
                <w:rFonts w:eastAsia="Times New Roman" w:cs="Times New Roman"/>
              </w:rPr>
            </w:pPr>
            <w:r w:rsidRPr="001A55FA">
              <w:rPr>
                <w:rFonts w:cs="Times New Roman"/>
              </w:rPr>
              <w:t>Podpora protipovodňových opatrení</w:t>
            </w:r>
            <w:r w:rsidRPr="001A55FA">
              <w:rPr>
                <w:rFonts w:eastAsia="Times New Roman" w:cs="Times New Roman"/>
              </w:rPr>
              <w:t xml:space="preserve"> </w:t>
            </w:r>
          </w:p>
        </w:tc>
        <w:tc>
          <w:tcPr>
            <w:tcW w:w="1492"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13 828 542</w:t>
            </w:r>
          </w:p>
        </w:tc>
        <w:tc>
          <w:tcPr>
            <w:tcW w:w="1940" w:type="dxa"/>
            <w:tcBorders>
              <w:top w:val="nil"/>
              <w:left w:val="nil"/>
              <w:bottom w:val="single" w:sz="4" w:space="0" w:color="auto"/>
              <w:right w:val="single" w:sz="4" w:space="0" w:color="auto"/>
            </w:tcBorders>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7 000 000</w:t>
            </w:r>
          </w:p>
        </w:tc>
        <w:tc>
          <w:tcPr>
            <w:tcW w:w="1160"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85 000</w:t>
            </w:r>
          </w:p>
        </w:tc>
        <w:tc>
          <w:tcPr>
            <w:tcW w:w="902" w:type="dxa"/>
            <w:tcBorders>
              <w:top w:val="nil"/>
              <w:left w:val="nil"/>
              <w:bottom w:val="single" w:sz="4" w:space="0" w:color="auto"/>
              <w:right w:val="single" w:sz="4" w:space="0" w:color="auto"/>
            </w:tcBorders>
            <w:shd w:val="clear" w:color="auto" w:fill="D9D9D9"/>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45</w:t>
            </w:r>
          </w:p>
        </w:tc>
      </w:tr>
      <w:tr w:rsidR="00332909" w:rsidRPr="001A55FA" w:rsidTr="005922EB">
        <w:trPr>
          <w:trHeight w:val="420"/>
        </w:trPr>
        <w:tc>
          <w:tcPr>
            <w:tcW w:w="699" w:type="dxa"/>
            <w:tcBorders>
              <w:top w:val="nil"/>
              <w:left w:val="single" w:sz="4" w:space="0" w:color="auto"/>
              <w:bottom w:val="nil"/>
              <w:right w:val="nil"/>
            </w:tcBorders>
            <w:noWrap/>
            <w:vAlign w:val="center"/>
            <w:hideMark/>
          </w:tcPr>
          <w:p w:rsidR="00332909" w:rsidRPr="001A55FA" w:rsidRDefault="00332909" w:rsidP="00C90BE5">
            <w:pPr>
              <w:spacing w:after="80" w:line="240" w:lineRule="auto"/>
              <w:contextualSpacing/>
              <w:jc w:val="right"/>
              <w:rPr>
                <w:rFonts w:eastAsia="Times New Roman" w:cs="Times New Roman"/>
                <w:b/>
                <w:bCs/>
              </w:rPr>
            </w:pPr>
            <w:r w:rsidRPr="001A55FA">
              <w:rPr>
                <w:rFonts w:eastAsia="Times New Roman" w:cs="Times New Roman"/>
                <w:b/>
                <w:bCs/>
              </w:rPr>
              <w:t> </w:t>
            </w:r>
          </w:p>
        </w:tc>
        <w:tc>
          <w:tcPr>
            <w:tcW w:w="3095" w:type="dxa"/>
            <w:tcBorders>
              <w:top w:val="nil"/>
              <w:left w:val="single" w:sz="4" w:space="0" w:color="auto"/>
              <w:bottom w:val="nil"/>
              <w:right w:val="single" w:sz="4" w:space="0" w:color="auto"/>
            </w:tcBorders>
            <w:shd w:val="clear" w:color="auto" w:fill="DDEBF7"/>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Spolu</w:t>
            </w:r>
          </w:p>
        </w:tc>
        <w:tc>
          <w:tcPr>
            <w:tcW w:w="1492" w:type="dxa"/>
            <w:tcBorders>
              <w:top w:val="nil"/>
              <w:left w:val="nil"/>
              <w:bottom w:val="nil"/>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26 514 217</w:t>
            </w:r>
          </w:p>
        </w:tc>
        <w:tc>
          <w:tcPr>
            <w:tcW w:w="1940" w:type="dxa"/>
            <w:tcBorders>
              <w:top w:val="nil"/>
              <w:left w:val="nil"/>
              <w:bottom w:val="nil"/>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rPr>
            </w:pPr>
            <w:r w:rsidRPr="001A55FA">
              <w:rPr>
                <w:rFonts w:eastAsia="Times New Roman" w:cs="Times New Roman"/>
              </w:rPr>
              <w:t>13 782 000</w:t>
            </w:r>
          </w:p>
        </w:tc>
        <w:tc>
          <w:tcPr>
            <w:tcW w:w="1160"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310 000</w:t>
            </w:r>
          </w:p>
        </w:tc>
        <w:tc>
          <w:tcPr>
            <w:tcW w:w="902" w:type="dxa"/>
            <w:tcBorders>
              <w:top w:val="nil"/>
              <w:left w:val="nil"/>
              <w:bottom w:val="single" w:sz="4" w:space="0" w:color="auto"/>
              <w:right w:val="single" w:sz="4" w:space="0" w:color="auto"/>
            </w:tcBorders>
            <w:shd w:val="clear" w:color="auto" w:fill="DDEBF7"/>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125</w:t>
            </w:r>
          </w:p>
        </w:tc>
      </w:tr>
      <w:tr w:rsidR="00332909" w:rsidRPr="001A55FA" w:rsidTr="005922EB">
        <w:trPr>
          <w:trHeight w:val="495"/>
        </w:trPr>
        <w:tc>
          <w:tcPr>
            <w:tcW w:w="3794" w:type="dxa"/>
            <w:gridSpan w:val="2"/>
            <w:tcBorders>
              <w:top w:val="single" w:sz="8" w:space="0" w:color="auto"/>
              <w:left w:val="single" w:sz="8" w:space="0" w:color="auto"/>
              <w:bottom w:val="single" w:sz="8" w:space="0" w:color="auto"/>
              <w:right w:val="single" w:sz="8" w:space="0" w:color="000000"/>
            </w:tcBorders>
            <w:shd w:val="clear" w:color="auto" w:fill="BFBFBF"/>
            <w:noWrap/>
            <w:vAlign w:val="center"/>
            <w:hideMark/>
          </w:tcPr>
          <w:p w:rsidR="00332909" w:rsidRPr="001A55FA" w:rsidRDefault="00332909" w:rsidP="00C90BE5">
            <w:pPr>
              <w:spacing w:after="80" w:line="240" w:lineRule="auto"/>
              <w:contextualSpacing/>
              <w:rPr>
                <w:rFonts w:eastAsia="Times New Roman" w:cs="Times New Roman"/>
                <w:b/>
                <w:bCs/>
              </w:rPr>
            </w:pPr>
            <w:r w:rsidRPr="001A55FA">
              <w:rPr>
                <w:rFonts w:eastAsia="Times New Roman" w:cs="Times New Roman"/>
                <w:b/>
                <w:bCs/>
              </w:rPr>
              <w:t>CELKOM</w:t>
            </w:r>
          </w:p>
        </w:tc>
        <w:tc>
          <w:tcPr>
            <w:tcW w:w="1492" w:type="dxa"/>
            <w:tcBorders>
              <w:top w:val="single" w:sz="8" w:space="0" w:color="auto"/>
              <w:left w:val="nil"/>
              <w:bottom w:val="single" w:sz="8" w:space="0" w:color="auto"/>
              <w:right w:val="single" w:sz="8" w:space="0" w:color="auto"/>
            </w:tcBorders>
            <w:shd w:val="clear" w:color="auto" w:fill="BFBFBF"/>
            <w:noWrap/>
            <w:vAlign w:val="center"/>
            <w:hideMark/>
          </w:tcPr>
          <w:p w:rsidR="00332909" w:rsidRPr="001A55FA" w:rsidRDefault="00332909" w:rsidP="00457D06">
            <w:pPr>
              <w:spacing w:after="80" w:line="240" w:lineRule="auto"/>
              <w:contextualSpacing/>
              <w:jc w:val="center"/>
              <w:rPr>
                <w:rFonts w:eastAsia="Times New Roman" w:cs="Times New Roman"/>
                <w:b/>
                <w:bCs/>
              </w:rPr>
            </w:pPr>
            <w:r w:rsidRPr="001A55FA">
              <w:rPr>
                <w:rFonts w:eastAsia="Times New Roman" w:cs="Times New Roman"/>
                <w:b/>
                <w:bCs/>
              </w:rPr>
              <w:t>16</w:t>
            </w:r>
            <w:r w:rsidR="00457D06">
              <w:rPr>
                <w:rFonts w:eastAsia="Times New Roman" w:cs="Times New Roman"/>
                <w:b/>
                <w:bCs/>
              </w:rPr>
              <w:t>9</w:t>
            </w:r>
            <w:r w:rsidRPr="001A55FA">
              <w:rPr>
                <w:rFonts w:eastAsia="Times New Roman" w:cs="Times New Roman"/>
                <w:b/>
                <w:bCs/>
              </w:rPr>
              <w:t> </w:t>
            </w:r>
            <w:r w:rsidR="00457D06">
              <w:rPr>
                <w:rFonts w:eastAsia="Times New Roman" w:cs="Times New Roman"/>
                <w:b/>
                <w:bCs/>
              </w:rPr>
              <w:t>026</w:t>
            </w:r>
            <w:r w:rsidR="00457D06" w:rsidRPr="001A55FA">
              <w:rPr>
                <w:rFonts w:eastAsia="Times New Roman" w:cs="Times New Roman"/>
                <w:b/>
                <w:bCs/>
              </w:rPr>
              <w:t xml:space="preserve"> </w:t>
            </w:r>
            <w:r w:rsidRPr="001A55FA">
              <w:rPr>
                <w:rFonts w:eastAsia="Times New Roman" w:cs="Times New Roman"/>
                <w:b/>
                <w:bCs/>
              </w:rPr>
              <w:t>683</w:t>
            </w:r>
          </w:p>
        </w:tc>
        <w:tc>
          <w:tcPr>
            <w:tcW w:w="1940" w:type="dxa"/>
            <w:tcBorders>
              <w:top w:val="single" w:sz="8" w:space="0" w:color="auto"/>
              <w:left w:val="nil"/>
              <w:bottom w:val="single" w:sz="8" w:space="0" w:color="auto"/>
              <w:right w:val="single" w:sz="8" w:space="0" w:color="auto"/>
            </w:tcBorders>
            <w:shd w:val="clear" w:color="auto" w:fill="BFBFBF"/>
            <w:noWrap/>
            <w:vAlign w:val="center"/>
            <w:hideMark/>
          </w:tcPr>
          <w:p w:rsidR="00332909" w:rsidRPr="001A55FA" w:rsidRDefault="00332909" w:rsidP="00457D06">
            <w:pPr>
              <w:spacing w:after="80" w:line="240" w:lineRule="auto"/>
              <w:contextualSpacing/>
              <w:jc w:val="center"/>
              <w:rPr>
                <w:rFonts w:eastAsia="Times New Roman" w:cs="Times New Roman"/>
                <w:b/>
                <w:bCs/>
              </w:rPr>
            </w:pPr>
            <w:r w:rsidRPr="001A55FA">
              <w:rPr>
                <w:rFonts w:eastAsia="Times New Roman" w:cs="Times New Roman"/>
                <w:b/>
                <w:bCs/>
              </w:rPr>
              <w:t>60 </w:t>
            </w:r>
            <w:r w:rsidR="00457D06">
              <w:rPr>
                <w:rFonts w:eastAsia="Times New Roman" w:cs="Times New Roman"/>
                <w:b/>
                <w:bCs/>
              </w:rPr>
              <w:t>906</w:t>
            </w:r>
            <w:r w:rsidR="00457D06" w:rsidRPr="001A55FA">
              <w:rPr>
                <w:rFonts w:eastAsia="Times New Roman" w:cs="Times New Roman"/>
                <w:b/>
                <w:bCs/>
              </w:rPr>
              <w:t xml:space="preserve"> </w:t>
            </w:r>
            <w:r w:rsidRPr="001A55FA">
              <w:rPr>
                <w:rFonts w:eastAsia="Times New Roman" w:cs="Times New Roman"/>
                <w:b/>
                <w:bCs/>
              </w:rPr>
              <w:t>513</w:t>
            </w:r>
          </w:p>
        </w:tc>
        <w:tc>
          <w:tcPr>
            <w:tcW w:w="1160" w:type="dxa"/>
            <w:tcBorders>
              <w:top w:val="single" w:sz="8" w:space="0" w:color="auto"/>
              <w:left w:val="nil"/>
              <w:bottom w:val="single" w:sz="8" w:space="0" w:color="auto"/>
              <w:right w:val="single" w:sz="8" w:space="0" w:color="auto"/>
            </w:tcBorders>
            <w:shd w:val="clear" w:color="auto" w:fill="F4B084"/>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3 765 000</w:t>
            </w:r>
          </w:p>
        </w:tc>
        <w:tc>
          <w:tcPr>
            <w:tcW w:w="902" w:type="dxa"/>
            <w:tcBorders>
              <w:top w:val="single" w:sz="8" w:space="0" w:color="auto"/>
              <w:left w:val="nil"/>
              <w:bottom w:val="single" w:sz="8" w:space="0" w:color="auto"/>
              <w:right w:val="single" w:sz="8" w:space="0" w:color="auto"/>
            </w:tcBorders>
            <w:shd w:val="clear" w:color="auto" w:fill="F4B084"/>
            <w:noWrap/>
            <w:vAlign w:val="center"/>
            <w:hideMark/>
          </w:tcPr>
          <w:p w:rsidR="00332909" w:rsidRPr="001A55FA" w:rsidRDefault="00332909" w:rsidP="00C90BE5">
            <w:pPr>
              <w:spacing w:after="80" w:line="240" w:lineRule="auto"/>
              <w:contextualSpacing/>
              <w:jc w:val="center"/>
              <w:rPr>
                <w:rFonts w:eastAsia="Times New Roman" w:cs="Times New Roman"/>
                <w:b/>
                <w:bCs/>
              </w:rPr>
            </w:pPr>
            <w:r w:rsidRPr="001A55FA">
              <w:rPr>
                <w:rFonts w:eastAsia="Times New Roman" w:cs="Times New Roman"/>
                <w:b/>
                <w:bCs/>
              </w:rPr>
              <w:t>1370</w:t>
            </w:r>
          </w:p>
        </w:tc>
      </w:tr>
    </w:tbl>
    <w:p w:rsidR="00332909" w:rsidRDefault="00332909" w:rsidP="00332909">
      <w:pPr>
        <w:pStyle w:val="Nadpis1"/>
        <w:ind w:left="426" w:hanging="426"/>
        <w:rPr>
          <w:color w:val="auto"/>
        </w:rPr>
      </w:pPr>
      <w:bookmarkStart w:id="94" w:name="_Toc10"/>
      <w:bookmarkStart w:id="95" w:name="_Toc517084366"/>
      <w:r>
        <w:rPr>
          <w:color w:val="auto"/>
        </w:rPr>
        <w:t xml:space="preserve">V. Proces monitorovania a hodnotenia dosiahnutého pokroku v zlepšení hospodárskej, sociálnej a environmentálnej situácii v okrese </w:t>
      </w:r>
      <w:bookmarkEnd w:id="94"/>
      <w:r>
        <w:rPr>
          <w:color w:val="auto"/>
        </w:rPr>
        <w:t>Bardejov</w:t>
      </w:r>
      <w:bookmarkEnd w:id="95"/>
    </w:p>
    <w:p w:rsidR="00332909" w:rsidRDefault="00332909" w:rsidP="00332909">
      <w:pPr>
        <w:rPr>
          <w:rFonts w:cs="Times New Roman"/>
          <w:szCs w:val="24"/>
        </w:rPr>
      </w:pPr>
      <w:r>
        <w:rPr>
          <w:rFonts w:cs="Times New Roman"/>
          <w:szCs w:val="24"/>
        </w:rPr>
        <w:t>Implementácia</w:t>
      </w:r>
      <w:r w:rsidR="001A55FA">
        <w:rPr>
          <w:rFonts w:cs="Times New Roman"/>
          <w:szCs w:val="24"/>
        </w:rPr>
        <w:t xml:space="preserve"> Akčného plánu je monitorovaná v</w:t>
      </w:r>
      <w:r>
        <w:rPr>
          <w:rFonts w:cs="Times New Roman"/>
          <w:szCs w:val="24"/>
        </w:rPr>
        <w:t xml:space="preserve">ýborom </w:t>
      </w:r>
      <w:r w:rsidR="001A55FA">
        <w:rPr>
          <w:rFonts w:cs="Times New Roman"/>
          <w:szCs w:val="24"/>
        </w:rPr>
        <w:t>a radou</w:t>
      </w:r>
      <w:r>
        <w:rPr>
          <w:rFonts w:cs="Times New Roman"/>
          <w:szCs w:val="24"/>
        </w:rPr>
        <w:t xml:space="preserve"> na základe odporúčaní a pravidelnýc</w:t>
      </w:r>
      <w:r w:rsidR="001A55FA">
        <w:rPr>
          <w:rFonts w:cs="Times New Roman"/>
          <w:szCs w:val="24"/>
        </w:rPr>
        <w:t>h polročných správ a podkladov v</w:t>
      </w:r>
      <w:r>
        <w:rPr>
          <w:rFonts w:cs="Times New Roman"/>
          <w:szCs w:val="24"/>
        </w:rPr>
        <w:t>ýboru.</w:t>
      </w:r>
    </w:p>
    <w:p w:rsidR="00332909" w:rsidRDefault="00332909" w:rsidP="00332909">
      <w:pPr>
        <w:rPr>
          <w:rFonts w:cs="Times New Roman"/>
          <w:szCs w:val="24"/>
        </w:rPr>
      </w:pPr>
      <w:r>
        <w:rPr>
          <w:rFonts w:cs="Times New Roman"/>
          <w:szCs w:val="24"/>
        </w:rPr>
        <w:t xml:space="preserve">Výbor sa schádza podľa potreby, minimálne však raz za šesť mesiacov. </w:t>
      </w:r>
    </w:p>
    <w:p w:rsidR="00332909" w:rsidRDefault="00332909" w:rsidP="00332909">
      <w:pPr>
        <w:rPr>
          <w:rFonts w:cs="Times New Roman"/>
          <w:szCs w:val="24"/>
        </w:rPr>
      </w:pPr>
      <w:r>
        <w:rPr>
          <w:rFonts w:cs="Times New Roman"/>
          <w:szCs w:val="24"/>
        </w:rPr>
        <w:t xml:space="preserve">Okresný úrad vypracuje raz za 6 mesiacov v spolupráci s Úradom vlády SR a Centrom podpory regionálneho rozvoja okresu Bardejov správu o plnení Akčného plánu a predloží ju na schválenie výboru. Výbor po schválení Správy o plnení Akčného plánu predloží Správu </w:t>
      </w:r>
      <w:r w:rsidR="001A2B87">
        <w:rPr>
          <w:rFonts w:cs="Times New Roman"/>
          <w:szCs w:val="24"/>
        </w:rPr>
        <w:t>rade</w:t>
      </w:r>
      <w:r>
        <w:rPr>
          <w:rFonts w:cs="Times New Roman"/>
          <w:szCs w:val="24"/>
        </w:rPr>
        <w:t>. Správa o plnení Akčného plánu bude obsahovať najmä hodnotenie priameho a nepriameho vplyvu Akčného plánu na rozvoj okresu z hľadiska zamestnanosti, rozvoja infraštruktúry, mobilizácie finančných zdrojov pre rozvoj okresu a podpory spolupráce. Správa bude tiež obsahovať odporúčania pre pokračovanie plnenia Akčného plánu a pre program podpory najmenej rozvinutých okresov.</w:t>
      </w:r>
    </w:p>
    <w:p w:rsidR="00332909" w:rsidRDefault="00332909" w:rsidP="00332909">
      <w:pPr>
        <w:rPr>
          <w:rFonts w:cs="Times New Roman"/>
          <w:szCs w:val="24"/>
        </w:rPr>
      </w:pPr>
      <w:r>
        <w:rPr>
          <w:rFonts w:cs="Times New Roman"/>
          <w:szCs w:val="24"/>
        </w:rPr>
        <w:t xml:space="preserve">Výbor vyhodnocuje dosiahnutý pokrok, prijíma potrebné odporúčania pre pokračovanie implementácie Akčného plánu a predkladá návrhy a odporúčania na zmenu príslušného uznesenia </w:t>
      </w:r>
      <w:r w:rsidR="001A2B87">
        <w:rPr>
          <w:rFonts w:cs="Times New Roman"/>
          <w:szCs w:val="24"/>
        </w:rPr>
        <w:t>rade</w:t>
      </w:r>
      <w:r>
        <w:rPr>
          <w:rFonts w:cs="Times New Roman"/>
          <w:szCs w:val="24"/>
        </w:rPr>
        <w:t>. Úrad vlády SR zverejní správu o plnení Akčného plánu raz za 6 mesiacov na svoj</w:t>
      </w:r>
      <w:r w:rsidR="001A2B87">
        <w:rPr>
          <w:rFonts w:cs="Times New Roman"/>
          <w:szCs w:val="24"/>
        </w:rPr>
        <w:t>om webovom sídle</w:t>
      </w:r>
      <w:r>
        <w:rPr>
          <w:rFonts w:cs="Times New Roman"/>
          <w:szCs w:val="24"/>
        </w:rPr>
        <w:t xml:space="preserve">. Ak o to požiada vláda SR, predloží Úrad vlády SR správu o plnení Akčného plánu na rokovanie vlády. </w:t>
      </w:r>
    </w:p>
    <w:p w:rsidR="00332909" w:rsidRDefault="00332909" w:rsidP="00332909">
      <w:pPr>
        <w:rPr>
          <w:rFonts w:cs="Times New Roman"/>
          <w:szCs w:val="24"/>
        </w:rPr>
      </w:pPr>
      <w:r>
        <w:rPr>
          <w:rFonts w:cs="Times New Roman"/>
          <w:szCs w:val="24"/>
        </w:rPr>
        <w:t xml:space="preserve">Základnými kritériami pre výber projektov v rámci pilotných štartovacích aktivít a pre výber indikatívnych aktivít pre realizáciu v rámci Akčného plánu sú: </w:t>
      </w:r>
    </w:p>
    <w:p w:rsidR="00332909" w:rsidRPr="00C90BE5" w:rsidRDefault="00332909" w:rsidP="004D2CA9">
      <w:pPr>
        <w:pStyle w:val="Odsekzoznamu"/>
        <w:numPr>
          <w:ilvl w:val="0"/>
          <w:numId w:val="56"/>
        </w:numPr>
        <w:spacing w:after="0"/>
        <w:ind w:left="567" w:hanging="207"/>
        <w:jc w:val="left"/>
        <w:rPr>
          <w:szCs w:val="24"/>
        </w:rPr>
      </w:pPr>
      <w:r w:rsidRPr="00C90BE5">
        <w:rPr>
          <w:szCs w:val="24"/>
        </w:rPr>
        <w:t>podpora projektov, ktoré generujú tvorbu pracovných miest,</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lastRenderedPageBreak/>
        <w:t xml:space="preserve">udržateľnosť aktivity po skončení doby priamej podpory,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realizovateľnosť aktivity v danom čase, priestore a s danými kapacitami (finančnými, ľudskými, organizačnými),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nevyhnutnosť aktivity v kontexte definovanej stratégie (je aktivita nevyhnutným predpokladom, prispieva rozhodujúcou mierou, prispieva, neprispieva),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synergické efekty aktivity nad rámec jej priameho zamerania,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miera efektu danej intervencie – očakávaná veľkosť kvalitatívnej a kvantitatívnej zmeny (napr. počet novovytvorených pracovných miest),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miera zacielenia aktivity na riešenie primárnych problémov regiónu/súlad s prioritami stratégie,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environmentálne prínosy aktivity (ako pridaná hodnota ekonomicky a sociálne zameraných aktivít),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sociálne prínosy aktivity (ako pridaná hodnota environmentálne a ekonomicky zameraných aktivít), </w:t>
      </w:r>
    </w:p>
    <w:p w:rsidR="00332909" w:rsidRPr="00C90BE5" w:rsidRDefault="00332909" w:rsidP="004D2CA9">
      <w:pPr>
        <w:pStyle w:val="Odsekzoznamu"/>
        <w:numPr>
          <w:ilvl w:val="0"/>
          <w:numId w:val="56"/>
        </w:numPr>
        <w:spacing w:after="0"/>
        <w:ind w:left="567" w:hanging="207"/>
        <w:rPr>
          <w:rFonts w:eastAsia="Times New Roman"/>
          <w:szCs w:val="24"/>
        </w:rPr>
      </w:pPr>
      <w:r w:rsidRPr="00C90BE5">
        <w:rPr>
          <w:szCs w:val="24"/>
        </w:rPr>
        <w:t xml:space="preserve">ekonomické prínosy aktivity (ako pridaná hodnota environmentálne a sociálne zameraných aktivít). </w:t>
      </w:r>
    </w:p>
    <w:p w:rsidR="00332909" w:rsidRDefault="00332909" w:rsidP="00332909">
      <w:pPr>
        <w:spacing w:line="360" w:lineRule="auto"/>
        <w:rPr>
          <w:rFonts w:eastAsia="Times New Roman" w:cs="Times New Roman"/>
          <w:sz w:val="24"/>
          <w:szCs w:val="24"/>
        </w:rPr>
      </w:pPr>
    </w:p>
    <w:p w:rsidR="00C90BE5" w:rsidRDefault="00C90BE5" w:rsidP="00332909">
      <w:pPr>
        <w:spacing w:line="360" w:lineRule="auto"/>
        <w:rPr>
          <w:rFonts w:eastAsia="Times New Roman" w:cs="Times New Roman"/>
          <w:sz w:val="24"/>
          <w:szCs w:val="24"/>
        </w:rPr>
      </w:pPr>
    </w:p>
    <w:p w:rsidR="00332909" w:rsidRDefault="00332909" w:rsidP="00332909">
      <w:pPr>
        <w:pStyle w:val="Nadpis1"/>
        <w:ind w:left="567" w:hanging="567"/>
        <w:rPr>
          <w:color w:val="auto"/>
        </w:rPr>
      </w:pPr>
      <w:bookmarkStart w:id="96" w:name="_Toc11"/>
      <w:bookmarkStart w:id="97" w:name="_Toc517084367"/>
      <w:r>
        <w:rPr>
          <w:color w:val="auto"/>
        </w:rPr>
        <w:t>VI.  Integrácia už existujúcich rezortných programov, re</w:t>
      </w:r>
      <w:r w:rsidR="006D2E6D">
        <w:rPr>
          <w:color w:val="auto"/>
        </w:rPr>
        <w:t xml:space="preserve">sp. prierezových </w:t>
      </w:r>
      <w:r>
        <w:rPr>
          <w:color w:val="auto"/>
        </w:rPr>
        <w:t>programov a návrh odstránenia prekážok na ich využívanie</w:t>
      </w:r>
      <w:bookmarkEnd w:id="96"/>
      <w:bookmarkEnd w:id="97"/>
    </w:p>
    <w:p w:rsidR="00332909" w:rsidRPr="00A9359B" w:rsidRDefault="00332909" w:rsidP="00332909">
      <w:pPr>
        <w:rPr>
          <w:szCs w:val="24"/>
        </w:rPr>
      </w:pPr>
      <w:r>
        <w:rPr>
          <w:rStyle w:val="slostrany"/>
        </w:rPr>
        <w:t xml:space="preserve">Vláda SR v rámci schválených uznesení schválila súbor úloh zameraných na podporu najmenej rozvinutých okresov, </w:t>
      </w:r>
      <w:r>
        <w:rPr>
          <w:rStyle w:val="slostrany"/>
          <w:szCs w:val="24"/>
        </w:rPr>
        <w:t>plnenie ktorých bude mimoriadne významné aj pre okres Bardejov.</w:t>
      </w:r>
    </w:p>
    <w:tbl>
      <w:tblPr>
        <w:tblStyle w:val="Mriekatabuky"/>
        <w:tblW w:w="0" w:type="auto"/>
        <w:tblLook w:val="04A0" w:firstRow="1" w:lastRow="0" w:firstColumn="1" w:lastColumn="0" w:noHBand="0" w:noVBand="1"/>
      </w:tblPr>
      <w:tblGrid>
        <w:gridCol w:w="1695"/>
        <w:gridCol w:w="4390"/>
        <w:gridCol w:w="840"/>
        <w:gridCol w:w="1144"/>
        <w:gridCol w:w="987"/>
      </w:tblGrid>
      <w:tr w:rsidR="00332909" w:rsidTr="00332909">
        <w:trPr>
          <w:trHeight w:val="300"/>
        </w:trPr>
        <w:tc>
          <w:tcPr>
            <w:tcW w:w="1695"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332909" w:rsidRDefault="00332909">
            <w:pPr>
              <w:spacing w:line="276" w:lineRule="auto"/>
              <w:jc w:val="center"/>
              <w:rPr>
                <w:b/>
                <w:sz w:val="18"/>
                <w:szCs w:val="18"/>
              </w:rPr>
            </w:pPr>
            <w:r>
              <w:rPr>
                <w:b/>
                <w:sz w:val="18"/>
                <w:szCs w:val="18"/>
              </w:rPr>
              <w:t>Zodpovedný subjekt</w:t>
            </w:r>
          </w:p>
        </w:tc>
        <w:tc>
          <w:tcPr>
            <w:tcW w:w="43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332909" w:rsidRDefault="00332909">
            <w:pPr>
              <w:spacing w:line="276" w:lineRule="auto"/>
              <w:jc w:val="center"/>
              <w:rPr>
                <w:b/>
                <w:sz w:val="18"/>
                <w:szCs w:val="18"/>
              </w:rPr>
            </w:pPr>
            <w:r>
              <w:rPr>
                <w:b/>
                <w:sz w:val="18"/>
                <w:szCs w:val="18"/>
              </w:rPr>
              <w:t>Úloha</w:t>
            </w:r>
          </w:p>
        </w:tc>
        <w:tc>
          <w:tcPr>
            <w:tcW w:w="8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332909" w:rsidRDefault="00332909">
            <w:pPr>
              <w:spacing w:line="276" w:lineRule="auto"/>
              <w:jc w:val="center"/>
              <w:rPr>
                <w:b/>
                <w:sz w:val="18"/>
                <w:szCs w:val="18"/>
              </w:rPr>
            </w:pPr>
            <w:r>
              <w:rPr>
                <w:b/>
                <w:sz w:val="18"/>
                <w:szCs w:val="18"/>
              </w:rPr>
              <w:t>Oblasť</w:t>
            </w:r>
          </w:p>
        </w:tc>
        <w:tc>
          <w:tcPr>
            <w:tcW w:w="114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332909" w:rsidRDefault="00332909">
            <w:pPr>
              <w:spacing w:line="276" w:lineRule="auto"/>
              <w:jc w:val="center"/>
              <w:rPr>
                <w:b/>
                <w:sz w:val="18"/>
                <w:szCs w:val="18"/>
              </w:rPr>
            </w:pPr>
            <w:r>
              <w:rPr>
                <w:b/>
                <w:sz w:val="18"/>
                <w:szCs w:val="18"/>
              </w:rPr>
              <w:t>Termín</w:t>
            </w:r>
          </w:p>
        </w:tc>
        <w:tc>
          <w:tcPr>
            <w:tcW w:w="98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332909" w:rsidRDefault="00332909">
            <w:pPr>
              <w:spacing w:line="276" w:lineRule="auto"/>
              <w:jc w:val="center"/>
              <w:rPr>
                <w:b/>
                <w:sz w:val="18"/>
                <w:szCs w:val="18"/>
              </w:rPr>
            </w:pPr>
            <w:r>
              <w:rPr>
                <w:b/>
                <w:sz w:val="18"/>
                <w:szCs w:val="18"/>
              </w:rPr>
              <w:t>Uznesenie vlády</w:t>
            </w:r>
          </w:p>
        </w:tc>
      </w:tr>
      <w:tr w:rsidR="003D54B7" w:rsidTr="00F16657">
        <w:trPr>
          <w:trHeight w:val="1674"/>
        </w:trPr>
        <w:tc>
          <w:tcPr>
            <w:tcW w:w="1695" w:type="dxa"/>
            <w:tcBorders>
              <w:top w:val="single" w:sz="4" w:space="0" w:color="auto"/>
              <w:left w:val="single" w:sz="4" w:space="0" w:color="auto"/>
              <w:bottom w:val="single" w:sz="4" w:space="0" w:color="auto"/>
              <w:right w:val="single" w:sz="4" w:space="0" w:color="auto"/>
            </w:tcBorders>
            <w:vAlign w:val="center"/>
            <w:hideMark/>
          </w:tcPr>
          <w:p w:rsidR="003D54B7" w:rsidRDefault="003D54B7" w:rsidP="003D54B7">
            <w:pPr>
              <w:spacing w:line="276" w:lineRule="auto"/>
              <w:rPr>
                <w:rFonts w:eastAsia="Times New Roman" w:cs="Times New Roman"/>
                <w:b/>
                <w:sz w:val="18"/>
                <w:szCs w:val="18"/>
              </w:rPr>
            </w:pPr>
            <w:r>
              <w:rPr>
                <w:rFonts w:eastAsia="Times New Roman" w:cs="Times New Roman"/>
                <w:b/>
                <w:sz w:val="18"/>
                <w:szCs w:val="18"/>
              </w:rPr>
              <w:t>Ministerka vnútra</w:t>
            </w:r>
          </w:p>
        </w:tc>
        <w:tc>
          <w:tcPr>
            <w:tcW w:w="4390" w:type="dxa"/>
            <w:tcBorders>
              <w:top w:val="single" w:sz="4" w:space="0" w:color="auto"/>
              <w:left w:val="single" w:sz="4" w:space="0" w:color="auto"/>
              <w:right w:val="single" w:sz="4" w:space="0" w:color="auto"/>
            </w:tcBorders>
          </w:tcPr>
          <w:p w:rsidR="003D54B7" w:rsidRDefault="003D54B7" w:rsidP="00F16657">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right w:val="single" w:sz="4" w:space="0" w:color="auto"/>
            </w:tcBorders>
            <w:vAlign w:val="center"/>
          </w:tcPr>
          <w:p w:rsidR="003D54B7" w:rsidRDefault="003D54B7" w:rsidP="00F16657">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right w:val="single" w:sz="4" w:space="0" w:color="auto"/>
            </w:tcBorders>
            <w:vAlign w:val="center"/>
          </w:tcPr>
          <w:p w:rsidR="003D54B7" w:rsidRDefault="003D54B7" w:rsidP="00F16657">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right w:val="single" w:sz="4" w:space="0" w:color="auto"/>
            </w:tcBorders>
            <w:noWrap/>
            <w:vAlign w:val="center"/>
          </w:tcPr>
          <w:p w:rsidR="003D54B7" w:rsidRDefault="003D54B7" w:rsidP="00F16657">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963"/>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Podpredseda vlády pre investície a informatizáciu</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b/>
                <w:sz w:val="18"/>
                <w:szCs w:val="18"/>
              </w:rPr>
              <w:t xml:space="preserve">V rámci jednotlivých operačných programov zabezpečiť realizáciu dopytových výziev pre najmenej rozvinuté okresy </w:t>
            </w:r>
            <w:r>
              <w:rPr>
                <w:rFonts w:eastAsia="Times New Roman" w:cs="Times New Roman"/>
                <w:sz w:val="18"/>
                <w:szCs w:val="18"/>
              </w:rPr>
              <w:t>tak, aby vytvorili možnosti pre podporu realizácie aktivít Akčných plánov v oblastiach vzdelávania, výchovy a rozvoja školstva, zamestnanosti, životného prostredia, pôdohospodárstva, rozvoja malých a stredných podnikov, infraštruktúry, občianskej vybavenosti, podpory miestnych akčných skupín podieľajúcich sa na realizácií Akčných plánov</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B.2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priebežne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254/2016</w:t>
            </w:r>
          </w:p>
        </w:tc>
      </w:tr>
      <w:tr w:rsidR="00332909" w:rsidTr="00332909">
        <w:trPr>
          <w:trHeight w:val="850"/>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Minister dopravy a výstavby</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b/>
                <w:sz w:val="18"/>
                <w:szCs w:val="18"/>
              </w:rPr>
              <w:t>Poskytovať dotácie na obstaranie nájomných bytov</w:t>
            </w:r>
            <w:r>
              <w:rPr>
                <w:rFonts w:eastAsia="Times New Roman" w:cs="Times New Roman"/>
                <w:sz w:val="18"/>
                <w:szCs w:val="18"/>
              </w:rPr>
              <w:t xml:space="preserve"> pre mladých v rozsahu limitov výdavkov rozpočtu verejnej správy na príslušný rozpočtový rok</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B.5</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31.12.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45/2016</w:t>
            </w:r>
          </w:p>
        </w:tc>
      </w:tr>
      <w:tr w:rsidR="00332909" w:rsidTr="00332909">
        <w:trPr>
          <w:trHeight w:val="11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Zohľadňovať žiadosti o </w:t>
            </w:r>
            <w:r>
              <w:rPr>
                <w:rFonts w:eastAsia="Times New Roman" w:cs="Times New Roman"/>
                <w:b/>
                <w:sz w:val="18"/>
                <w:szCs w:val="18"/>
              </w:rPr>
              <w:t>úvery zo Štátneho fondu rozvoja bývania</w:t>
            </w:r>
            <w:r>
              <w:rPr>
                <w:rFonts w:eastAsia="Times New Roman" w:cs="Times New Roman"/>
                <w:sz w:val="18"/>
                <w:szCs w:val="18"/>
              </w:rPr>
              <w:t xml:space="preserve"> z najmenej rozvinutých okresov tak, aby v prípade poskytnutia úveru bol mestám a obciam pri obstarávaní nájomných bytov poskytnutý úver </w:t>
            </w:r>
            <w:r>
              <w:rPr>
                <w:rFonts w:eastAsia="Times New Roman" w:cs="Times New Roman"/>
                <w:b/>
                <w:sz w:val="18"/>
                <w:szCs w:val="18"/>
              </w:rPr>
              <w:t xml:space="preserve">s nulovou </w:t>
            </w:r>
            <w:r>
              <w:rPr>
                <w:rFonts w:eastAsia="Times New Roman" w:cs="Times New Roman"/>
                <w:b/>
                <w:sz w:val="18"/>
                <w:szCs w:val="18"/>
              </w:rPr>
              <w:lastRenderedPageBreak/>
              <w:t>úrokovou sadzbou</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lastRenderedPageBreak/>
              <w:t>C.9</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7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Podporovať v najmenej rozvinutých okresoch </w:t>
            </w:r>
            <w:r>
              <w:rPr>
                <w:rFonts w:eastAsia="Times New Roman" w:cs="Times New Roman"/>
                <w:b/>
                <w:sz w:val="18"/>
                <w:szCs w:val="18"/>
              </w:rPr>
              <w:t>zriaďovanie a prevádzku turistických autobusov (spojov)</w:t>
            </w:r>
            <w:r>
              <w:rPr>
                <w:rFonts w:eastAsia="Times New Roman" w:cs="Times New Roman"/>
                <w:sz w:val="18"/>
                <w:szCs w:val="18"/>
              </w:rPr>
              <w:t xml:space="preserve"> spájajúcich strediská cestovného ruchu, vydávanie </w:t>
            </w:r>
            <w:r>
              <w:rPr>
                <w:rFonts w:eastAsia="Times New Roman" w:cs="Times New Roman"/>
                <w:b/>
                <w:sz w:val="18"/>
                <w:szCs w:val="18"/>
              </w:rPr>
              <w:t>turistických zľavových kariet</w:t>
            </w:r>
            <w:r>
              <w:rPr>
                <w:rFonts w:eastAsia="Times New Roman" w:cs="Times New Roman"/>
                <w:sz w:val="18"/>
                <w:szCs w:val="18"/>
              </w:rPr>
              <w:t xml:space="preserve">, </w:t>
            </w:r>
            <w:r>
              <w:rPr>
                <w:rFonts w:eastAsia="Times New Roman" w:cs="Times New Roman"/>
                <w:b/>
                <w:sz w:val="18"/>
                <w:szCs w:val="18"/>
              </w:rPr>
              <w:t>výstavbu a rekonštrukciu ciest a parkovísk</w:t>
            </w:r>
            <w:r>
              <w:rPr>
                <w:rFonts w:eastAsia="Times New Roman" w:cs="Times New Roman"/>
                <w:sz w:val="18"/>
                <w:szCs w:val="18"/>
              </w:rPr>
              <w:t xml:space="preserve"> smerujúcich do stredísk cestovného ruchu, </w:t>
            </w:r>
            <w:r>
              <w:rPr>
                <w:rFonts w:eastAsia="Times New Roman" w:cs="Times New Roman"/>
                <w:b/>
                <w:sz w:val="18"/>
                <w:szCs w:val="18"/>
              </w:rPr>
              <w:t>propagáciu a prezentáciu atraktivít a aktivít cestovného ruchu</w:t>
            </w:r>
            <w:r>
              <w:rPr>
                <w:rFonts w:eastAsia="Times New Roman" w:cs="Times New Roman"/>
                <w:sz w:val="18"/>
                <w:szCs w:val="18"/>
              </w:rPr>
              <w:t xml:space="preserve"> realizovaných prostredníctvom samospráv a neziskových organizácii</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C.16</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275"/>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 xml:space="preserve">Minister hospodárstva  </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879"/>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Podpredsedníčka vlády a ministerka pôdohospodárstva a rozvoja vidieka</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Zabezpečiť schválenie harmonogramu vypisovania výziev v rámci integrovaného regionálneho operačného programu tak, aby sa zohľadnili špecifiká najmenej rozvinutých okresov.</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neuvedený</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254/2016</w:t>
            </w:r>
          </w:p>
        </w:tc>
      </w:tr>
      <w:tr w:rsidR="00332909" w:rsidTr="00332909">
        <w:trPr>
          <w:trHeight w:val="13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Pri tvorbe kritérií a vyhodnocovaní žiadostí o prenájom poľnohospodárskej pôdy v správe Slovenského pozemkového fondu zo strany úspešných žiadateľov o nenávratný finančný príspevok podľa podopatrenia 6.1 „Pomoc na začatie podnikateľskej činnosti pre mladých poľnohospodárov“ </w:t>
            </w:r>
            <w:r>
              <w:rPr>
                <w:rFonts w:eastAsia="Times New Roman" w:cs="Times New Roman"/>
                <w:b/>
                <w:sz w:val="18"/>
                <w:szCs w:val="18"/>
              </w:rPr>
              <w:t>prioritne zohľadňovať žiadateľov z najmenej rozvinutého okresu</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B.12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priebežne</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45/2016</w:t>
            </w:r>
          </w:p>
        </w:tc>
      </w:tr>
      <w:tr w:rsidR="00332909" w:rsidTr="00332909">
        <w:trPr>
          <w:trHeight w:val="1275"/>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Podpredsedníčka vlády a ministerka pôdohospodárstva a rozvoja vidieka</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398"/>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rsidR="00332909" w:rsidRDefault="003D54B7" w:rsidP="003D54B7">
            <w:pPr>
              <w:spacing w:line="276" w:lineRule="auto"/>
              <w:jc w:val="left"/>
              <w:rPr>
                <w:rFonts w:eastAsia="Times New Roman" w:cs="Times New Roman"/>
                <w:b/>
                <w:sz w:val="18"/>
                <w:szCs w:val="18"/>
              </w:rPr>
            </w:pPr>
            <w:r>
              <w:rPr>
                <w:rFonts w:eastAsia="Times New Roman" w:cs="Times New Roman"/>
                <w:b/>
                <w:sz w:val="18"/>
                <w:szCs w:val="18"/>
              </w:rPr>
              <w:t>Podpredseda vlády a m</w:t>
            </w:r>
            <w:r w:rsidR="00332909">
              <w:rPr>
                <w:rFonts w:eastAsia="Times New Roman" w:cs="Times New Roman"/>
                <w:b/>
                <w:sz w:val="18"/>
                <w:szCs w:val="18"/>
              </w:rPr>
              <w:t>inister životného prostredia</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Zabezpečiť v spolupráci s ministrom práce, sociálnych vecí a rodiny </w:t>
            </w:r>
            <w:r>
              <w:rPr>
                <w:rFonts w:eastAsia="Times New Roman" w:cs="Times New Roman"/>
                <w:b/>
                <w:sz w:val="18"/>
                <w:szCs w:val="18"/>
              </w:rPr>
              <w:t>realizáciu projektov a aktivít v oblasti vodného hospodárstva</w:t>
            </w:r>
            <w:r>
              <w:rPr>
                <w:rFonts w:eastAsia="Times New Roman" w:cs="Times New Roman"/>
                <w:sz w:val="18"/>
                <w:szCs w:val="18"/>
              </w:rPr>
              <w:t xml:space="preserve"> v najmenej rozvinutých okresoch</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C.25</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9F2E04">
        <w:trPr>
          <w:trHeight w:val="3118"/>
        </w:trPr>
        <w:tc>
          <w:tcPr>
            <w:tcW w:w="1695" w:type="dxa"/>
            <w:tcBorders>
              <w:top w:val="single" w:sz="4" w:space="0" w:color="auto"/>
              <w:left w:val="single" w:sz="4" w:space="0" w:color="auto"/>
              <w:bottom w:val="single" w:sz="4" w:space="0" w:color="auto"/>
              <w:right w:val="single" w:sz="4" w:space="0" w:color="auto"/>
            </w:tcBorders>
            <w:vAlign w:val="center"/>
          </w:tcPr>
          <w:p w:rsidR="00332909" w:rsidRDefault="003D54B7" w:rsidP="003D54B7">
            <w:pPr>
              <w:spacing w:line="276" w:lineRule="auto"/>
              <w:jc w:val="left"/>
              <w:rPr>
                <w:rFonts w:eastAsia="Times New Roman" w:cs="Times New Roman"/>
                <w:b/>
                <w:sz w:val="18"/>
                <w:szCs w:val="18"/>
              </w:rPr>
            </w:pPr>
            <w:r>
              <w:rPr>
                <w:rFonts w:eastAsia="Times New Roman" w:cs="Times New Roman"/>
                <w:b/>
                <w:sz w:val="18"/>
                <w:szCs w:val="18"/>
              </w:rPr>
              <w:lastRenderedPageBreak/>
              <w:t>Podpredseda vlády a minister životného prostredia</w:t>
            </w:r>
          </w:p>
        </w:tc>
        <w:tc>
          <w:tcPr>
            <w:tcW w:w="4390" w:type="dxa"/>
            <w:tcBorders>
              <w:top w:val="single" w:sz="4" w:space="0" w:color="auto"/>
              <w:left w:val="single" w:sz="4" w:space="0" w:color="auto"/>
              <w:bottom w:val="single" w:sz="4" w:space="0" w:color="auto"/>
              <w:right w:val="single" w:sz="4" w:space="0" w:color="auto"/>
            </w:tcBorders>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Zabezpečiť v spolupráci s ministrom práce, sociálnych vecí a rodiny a ministrom pôdohospodárstva a rozvoja vidieka </w:t>
            </w:r>
            <w:r w:rsidRPr="00673FB6">
              <w:rPr>
                <w:rFonts w:eastAsia="Times New Roman" w:cs="Times New Roman"/>
                <w:sz w:val="18"/>
                <w:szCs w:val="18"/>
              </w:rPr>
              <w:t>realizáciu projektov v oblasti životného prostredia v najmenej rozvinutých okresoch</w:t>
            </w:r>
            <w:r>
              <w:rPr>
                <w:rFonts w:eastAsia="Times New Roman" w:cs="Times New Roman"/>
                <w:sz w:val="18"/>
                <w:szCs w:val="18"/>
              </w:rPr>
              <w:t>, a to najmä: odstraňovanie invazívnych druhov rastlín; podporu zelenej infraštruktúry v krajine; podporu zachovania biodiverzity a funkčnosti ekosystémov; manažmentu biotopov; starostlivosti o mestskú zeleň; pomocných prác pri odstraňovaní nelegálnych skládok odpadu; pomocných aktivitách a činnostiach pri budovaní a údržbe náučných chodníkov, poskytovania služieb v informačných centrách, pri budovaní geoparkov a projektov ekologického cestovného ruchu (vrátane cezhraničných projektov)</w:t>
            </w:r>
          </w:p>
        </w:tc>
        <w:tc>
          <w:tcPr>
            <w:tcW w:w="840" w:type="dxa"/>
            <w:tcBorders>
              <w:top w:val="single" w:sz="4" w:space="0" w:color="auto"/>
              <w:left w:val="single" w:sz="4" w:space="0" w:color="auto"/>
              <w:bottom w:val="single" w:sz="4" w:space="0" w:color="auto"/>
              <w:right w:val="single" w:sz="4" w:space="0" w:color="auto"/>
            </w:tcBorders>
            <w:vAlign w:val="center"/>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C.26</w:t>
            </w:r>
          </w:p>
        </w:tc>
        <w:tc>
          <w:tcPr>
            <w:tcW w:w="1144" w:type="dxa"/>
            <w:tcBorders>
              <w:top w:val="single" w:sz="4" w:space="0" w:color="auto"/>
              <w:left w:val="single" w:sz="4" w:space="0" w:color="auto"/>
              <w:bottom w:val="single" w:sz="4" w:space="0" w:color="auto"/>
              <w:right w:val="single" w:sz="4" w:space="0" w:color="auto"/>
            </w:tcBorders>
            <w:vAlign w:val="center"/>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263"/>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Ministerka zdravotníctva</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Pre prijímateľov z najmenej rozvinutých okresov v maximálnej možnej miere využívať možnosti zálohových platieb a predfinancovania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338"/>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Ministerka školstva, vedy, výskumu a športu</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2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Zabezpečiť </w:t>
            </w:r>
            <w:r>
              <w:rPr>
                <w:rFonts w:eastAsia="Times New Roman" w:cs="Times New Roman"/>
                <w:b/>
                <w:sz w:val="18"/>
                <w:szCs w:val="18"/>
              </w:rPr>
              <w:t>podporu tvorby elokovaných pracovísk stredných odborných škôl</w:t>
            </w:r>
            <w:r>
              <w:rPr>
                <w:rFonts w:eastAsia="Times New Roman" w:cs="Times New Roman"/>
                <w:sz w:val="18"/>
                <w:szCs w:val="18"/>
              </w:rPr>
              <w:t xml:space="preserve"> v najmenej rozvinutých okresoch, ktoré </w:t>
            </w:r>
            <w:r>
              <w:rPr>
                <w:rFonts w:eastAsia="Times New Roman" w:cs="Times New Roman"/>
                <w:b/>
                <w:sz w:val="18"/>
                <w:szCs w:val="18"/>
              </w:rPr>
              <w:t>zvyšujú začlenenie detí zo sociálne znevýhodneného prostredia do ďalšieho výchovno-vzdelávacieho procesu a zvyšujú uplatniteľnosť absolventov na trhu práce</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C.32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9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Zabezpečiť </w:t>
            </w:r>
            <w:r>
              <w:rPr>
                <w:rFonts w:eastAsia="Times New Roman" w:cs="Times New Roman"/>
                <w:b/>
                <w:sz w:val="18"/>
                <w:szCs w:val="18"/>
              </w:rPr>
              <w:t>podporu zapájania základných a stredných škôl do národných projektov z OP ĽZ</w:t>
            </w:r>
            <w:r>
              <w:rPr>
                <w:rFonts w:eastAsia="Times New Roman" w:cs="Times New Roman"/>
                <w:sz w:val="18"/>
                <w:szCs w:val="18"/>
              </w:rPr>
              <w:t xml:space="preserve">, najmä so zreteľom na </w:t>
            </w:r>
            <w:r>
              <w:rPr>
                <w:rFonts w:eastAsia="Times New Roman" w:cs="Times New Roman"/>
                <w:b/>
                <w:sz w:val="18"/>
                <w:szCs w:val="18"/>
              </w:rPr>
              <w:t>žiakov zo sociálne znevýhodneného prostredia</w:t>
            </w:r>
            <w:r>
              <w:rPr>
                <w:rFonts w:eastAsia="Times New Roman" w:cs="Times New Roman"/>
                <w:sz w:val="18"/>
                <w:szCs w:val="18"/>
              </w:rPr>
              <w:t xml:space="preserve"> v najmenej rozvinutých okresoch</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C.33</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Zohľadniť </w:t>
            </w:r>
            <w:r>
              <w:rPr>
                <w:rFonts w:eastAsia="Times New Roman" w:cs="Times New Roman"/>
                <w:b/>
                <w:sz w:val="18"/>
                <w:szCs w:val="18"/>
              </w:rPr>
              <w:t>odstraňovanie havarijných stavov na školách</w:t>
            </w:r>
            <w:r>
              <w:rPr>
                <w:rFonts w:eastAsia="Times New Roman" w:cs="Times New Roman"/>
                <w:sz w:val="18"/>
                <w:szCs w:val="18"/>
              </w:rPr>
              <w:t xml:space="preserve"> v najmenej rozvinutých okresoch</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C.37</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Zabezpečiť </w:t>
            </w:r>
            <w:r>
              <w:rPr>
                <w:rFonts w:eastAsia="Times New Roman" w:cs="Times New Roman"/>
                <w:b/>
                <w:sz w:val="18"/>
                <w:szCs w:val="18"/>
              </w:rPr>
              <w:t>zvýšenie dotácie na žiaka pre využívanie rekreačných zariadení v najmenej rozvinutých okresoch o 50 eur</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C.38</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2019</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134"/>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Minister práce, sociálnych vecí a rodiny</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200"/>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Ministri</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b/>
                <w:sz w:val="18"/>
                <w:szCs w:val="18"/>
              </w:rPr>
              <w:t>Zabezpečiť informovanosť vyhlasovaných výziev</w:t>
            </w:r>
            <w:r>
              <w:rPr>
                <w:rFonts w:eastAsia="Times New Roman" w:cs="Times New Roman"/>
                <w:sz w:val="18"/>
                <w:szCs w:val="18"/>
              </w:rPr>
              <w:t xml:space="preserve"> v rámci jednotlivých  operačných programov pre najmenej rozvinuté okresy na svojich webových sídlach a na portáli ITMS 2014+</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B.2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neuvedený</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251/2016</w:t>
            </w:r>
          </w:p>
        </w:tc>
      </w:tr>
      <w:tr w:rsidR="00332909" w:rsidTr="00332909">
        <w:trPr>
          <w:trHeight w:val="3118"/>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lastRenderedPageBreak/>
              <w:t>Ministri</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Zabezpečiť v súlade s § 4 ods. 3 zákona č. 336/2015 Z. z. o podpore najmenej rozvinutých okresov a o zmene a doplnení niektorých zákonov prostredníctvom monitorovacích výborov operačných programov </w:t>
            </w:r>
            <w:r>
              <w:rPr>
                <w:rFonts w:eastAsia="Times New Roman" w:cs="Times New Roman"/>
                <w:b/>
                <w:sz w:val="18"/>
                <w:szCs w:val="18"/>
              </w:rPr>
              <w:t>zohľadnenie potrieb najmenej rozvinutého okresu</w:t>
            </w:r>
            <w:r>
              <w:rPr>
                <w:rFonts w:eastAsia="Times New Roman" w:cs="Times New Roman"/>
                <w:sz w:val="18"/>
                <w:szCs w:val="18"/>
              </w:rPr>
              <w:t xml:space="preserve">, najmä pri tvorbe a </w:t>
            </w:r>
            <w:r>
              <w:rPr>
                <w:rFonts w:eastAsia="Times New Roman" w:cs="Times New Roman"/>
                <w:b/>
                <w:sz w:val="18"/>
                <w:szCs w:val="18"/>
              </w:rPr>
              <w:t>predkladaní návrhov hodnotiacich a výberových kritérií</w:t>
            </w:r>
            <w:r>
              <w:rPr>
                <w:rFonts w:eastAsia="Times New Roman" w:cs="Times New Roman"/>
                <w:sz w:val="18"/>
                <w:szCs w:val="18"/>
              </w:rPr>
              <w:t>, ako aj pri schvaľovaní zámerov národných projektov: do návrhu hodnotiacich a výberových kritérií zapracovať bodové zvýhodnenie projektov z najmenej rozvinutého okresu; v prípade implementácie operačných programov prostredníctvom integrovaných územných investícií zabezpečiť začlenenie projektov z najmenej rozvinutého okresu do regionálnych investičných územných stratégií*</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C.1</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priebežne</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45/2016</w:t>
            </w:r>
          </w:p>
        </w:tc>
      </w:tr>
      <w:tr w:rsidR="00332909" w:rsidTr="00332909">
        <w:trPr>
          <w:trHeight w:val="10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b/>
                <w:sz w:val="18"/>
                <w:szCs w:val="18"/>
              </w:rPr>
              <w:t>Preskúmať ďalšie možnosti zvýhodnenia žiadateľov z najmenej rozvinutých okresov o poskytnutie prostriedkov pomoci z európskych štrukturálnych a investičných fondov</w:t>
            </w:r>
            <w:r>
              <w:rPr>
                <w:rFonts w:eastAsia="Times New Roman" w:cs="Times New Roman"/>
                <w:sz w:val="18"/>
                <w:szCs w:val="18"/>
              </w:rPr>
              <w:t xml:space="preserve"> v súlade s usmerneniami európskych štrukturálnych a investičných fondov*</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C.3</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priebežne</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45/2016</w:t>
            </w:r>
          </w:p>
        </w:tc>
      </w:tr>
      <w:tr w:rsidR="00332909" w:rsidTr="00332909">
        <w:trPr>
          <w:trHeight w:val="3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909" w:rsidRDefault="00332909">
            <w:pPr>
              <w:spacing w:after="0"/>
              <w:jc w:val="left"/>
              <w:rPr>
                <w:rFonts w:eastAsia="Times New Roman" w:cs="Times New Roman"/>
                <w:b/>
                <w:sz w:val="18"/>
                <w:szCs w:val="18"/>
              </w:rPr>
            </w:pP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Umiestňovať </w:t>
            </w:r>
            <w:r>
              <w:rPr>
                <w:rFonts w:eastAsia="Times New Roman" w:cs="Times New Roman"/>
                <w:b/>
                <w:sz w:val="18"/>
                <w:szCs w:val="18"/>
              </w:rPr>
              <w:t>verejné investície do najmenej rozvinutých okresov</w:t>
            </w:r>
            <w:r>
              <w:rPr>
                <w:rFonts w:eastAsia="Times New Roman" w:cs="Times New Roman"/>
                <w:sz w:val="18"/>
                <w:szCs w:val="18"/>
              </w:rPr>
              <w:t>*</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D.1</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neuvedený</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1337"/>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 xml:space="preserve">Vedúci Úradu vlády </w:t>
            </w:r>
            <w:r w:rsidR="003D54B7">
              <w:rPr>
                <w:rFonts w:eastAsia="Times New Roman" w:cs="Times New Roman"/>
                <w:b/>
                <w:sz w:val="18"/>
                <w:szCs w:val="18"/>
              </w:rPr>
              <w:t>SR</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sz w:val="18"/>
                <w:szCs w:val="18"/>
              </w:rPr>
            </w:pPr>
            <w:r>
              <w:rPr>
                <w:rFonts w:eastAsia="Times New Roman" w:cs="Times New Roman"/>
                <w:sz w:val="18"/>
                <w:szCs w:val="18"/>
              </w:rPr>
              <w:t xml:space="preserve">Pre prijímateľov z najmenej rozvinutých okresov v maximálnej možnej miere </w:t>
            </w:r>
            <w:r>
              <w:rPr>
                <w:rFonts w:eastAsia="Times New Roman" w:cs="Times New Roman"/>
                <w:b/>
                <w:sz w:val="18"/>
                <w:szCs w:val="18"/>
              </w:rPr>
              <w:t>využívať možnosti zálohových platieb a predfinancovania</w:t>
            </w:r>
            <w:r>
              <w:rPr>
                <w:rFonts w:eastAsia="Times New Roman" w:cs="Times New Roman"/>
                <w:sz w:val="18"/>
                <w:szCs w:val="18"/>
              </w:rPr>
              <w:t xml:space="preserve"> v súlade so Systémom finančného riadenia štrukturálnych fondov, Kohézneho fondu a Európskeho námorného a rybárskeho fondu na programové obdobie 2014 – 2020</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C.2</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raz ročne k 30.06. do roku 2020</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476/2015</w:t>
            </w:r>
          </w:p>
        </w:tc>
      </w:tr>
      <w:tr w:rsidR="00332909" w:rsidTr="00332909">
        <w:trPr>
          <w:trHeight w:val="600"/>
        </w:trPr>
        <w:tc>
          <w:tcPr>
            <w:tcW w:w="1695"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Predseda Úradu pre verejné obstarávanie</w:t>
            </w:r>
          </w:p>
        </w:tc>
        <w:tc>
          <w:tcPr>
            <w:tcW w:w="4390" w:type="dxa"/>
            <w:tcBorders>
              <w:top w:val="single" w:sz="4" w:space="0" w:color="auto"/>
              <w:left w:val="single" w:sz="4" w:space="0" w:color="auto"/>
              <w:bottom w:val="single" w:sz="4" w:space="0" w:color="auto"/>
              <w:right w:val="single" w:sz="4" w:space="0" w:color="auto"/>
            </w:tcBorders>
            <w:hideMark/>
          </w:tcPr>
          <w:p w:rsidR="00332909" w:rsidRDefault="00332909">
            <w:pPr>
              <w:spacing w:line="276" w:lineRule="auto"/>
              <w:rPr>
                <w:rFonts w:eastAsia="Times New Roman" w:cs="Times New Roman"/>
                <w:b/>
                <w:sz w:val="18"/>
                <w:szCs w:val="18"/>
              </w:rPr>
            </w:pPr>
            <w:r>
              <w:rPr>
                <w:rFonts w:eastAsia="Times New Roman" w:cs="Times New Roman"/>
                <w:b/>
                <w:sz w:val="18"/>
                <w:szCs w:val="18"/>
              </w:rPr>
              <w:t>Poskytnúť metodickú podporu na využívanie verejného obstarávania so sociálnym aspektom</w:t>
            </w:r>
          </w:p>
        </w:tc>
        <w:tc>
          <w:tcPr>
            <w:tcW w:w="840"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B.26</w:t>
            </w:r>
          </w:p>
        </w:tc>
        <w:tc>
          <w:tcPr>
            <w:tcW w:w="1144" w:type="dxa"/>
            <w:tcBorders>
              <w:top w:val="single" w:sz="4" w:space="0" w:color="auto"/>
              <w:left w:val="single" w:sz="4" w:space="0" w:color="auto"/>
              <w:bottom w:val="single" w:sz="4" w:space="0" w:color="auto"/>
              <w:right w:val="single" w:sz="4" w:space="0" w:color="auto"/>
            </w:tcBorders>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priebežne</w:t>
            </w:r>
          </w:p>
        </w:tc>
        <w:tc>
          <w:tcPr>
            <w:tcW w:w="987" w:type="dxa"/>
            <w:tcBorders>
              <w:top w:val="single" w:sz="4" w:space="0" w:color="auto"/>
              <w:left w:val="single" w:sz="4" w:space="0" w:color="auto"/>
              <w:bottom w:val="single" w:sz="4" w:space="0" w:color="auto"/>
              <w:right w:val="single" w:sz="4" w:space="0" w:color="auto"/>
            </w:tcBorders>
            <w:noWrap/>
            <w:vAlign w:val="center"/>
            <w:hideMark/>
          </w:tcPr>
          <w:p w:rsidR="00332909" w:rsidRDefault="00332909">
            <w:pPr>
              <w:spacing w:line="276" w:lineRule="auto"/>
              <w:jc w:val="center"/>
              <w:rPr>
                <w:rFonts w:eastAsia="Times New Roman" w:cs="Times New Roman"/>
                <w:sz w:val="18"/>
                <w:szCs w:val="18"/>
              </w:rPr>
            </w:pPr>
            <w:r>
              <w:rPr>
                <w:rFonts w:eastAsia="Times New Roman" w:cs="Times New Roman"/>
                <w:sz w:val="18"/>
                <w:szCs w:val="18"/>
              </w:rPr>
              <w:t>45/2016</w:t>
            </w:r>
          </w:p>
        </w:tc>
      </w:tr>
    </w:tbl>
    <w:tbl>
      <w:tblPr>
        <w:tblW w:w="4820" w:type="dxa"/>
        <w:tblCellMar>
          <w:left w:w="70" w:type="dxa"/>
          <w:right w:w="70" w:type="dxa"/>
        </w:tblCellMar>
        <w:tblLook w:val="04A0" w:firstRow="1" w:lastRow="0" w:firstColumn="1" w:lastColumn="0" w:noHBand="0" w:noVBand="1"/>
      </w:tblPr>
      <w:tblGrid>
        <w:gridCol w:w="4820"/>
      </w:tblGrid>
      <w:tr w:rsidR="00332909" w:rsidTr="00332909">
        <w:trPr>
          <w:trHeight w:val="300"/>
        </w:trPr>
        <w:tc>
          <w:tcPr>
            <w:tcW w:w="4820" w:type="dxa"/>
            <w:vAlign w:val="bottom"/>
            <w:hideMark/>
          </w:tcPr>
          <w:p w:rsidR="00332909" w:rsidRDefault="00332909">
            <w:pPr>
              <w:rPr>
                <w:rFonts w:eastAsia="Times New Roman" w:cs="Times New Roman"/>
                <w:sz w:val="18"/>
                <w:szCs w:val="18"/>
              </w:rPr>
            </w:pPr>
            <w:r>
              <w:rPr>
                <w:rFonts w:eastAsia="Times New Roman" w:cs="Times New Roman"/>
                <w:sz w:val="18"/>
                <w:szCs w:val="18"/>
              </w:rPr>
              <w:t>Pozn. *odporúčanie</w:t>
            </w:r>
          </w:p>
        </w:tc>
      </w:tr>
    </w:tbl>
    <w:p w:rsidR="00332909" w:rsidRDefault="00332909" w:rsidP="00332909">
      <w:pPr>
        <w:rPr>
          <w:rFonts w:eastAsia="Times New Roman" w:cs="Times New Roman"/>
          <w:sz w:val="24"/>
          <w:szCs w:val="24"/>
        </w:rPr>
      </w:pPr>
    </w:p>
    <w:p w:rsidR="00332909" w:rsidRDefault="00332909" w:rsidP="00C90BE5">
      <w:pPr>
        <w:spacing w:after="0" w:line="240" w:lineRule="auto"/>
        <w:jc w:val="left"/>
        <w:rPr>
          <w:b/>
        </w:rPr>
      </w:pPr>
      <w:r w:rsidRPr="00C90BE5">
        <w:rPr>
          <w:rFonts w:eastAsia="Times New Roman"/>
          <w:sz w:val="24"/>
          <w:szCs w:val="24"/>
        </w:rPr>
        <w:br w:type="page"/>
      </w:r>
      <w:r w:rsidRPr="00C90BE5">
        <w:rPr>
          <w:b/>
        </w:rPr>
        <w:lastRenderedPageBreak/>
        <w:t xml:space="preserve">Príloha: </w:t>
      </w:r>
      <w:r w:rsidR="00943F0A">
        <w:rPr>
          <w:b/>
        </w:rPr>
        <w:t xml:space="preserve">Predpokladané čerpanie </w:t>
      </w:r>
      <w:r w:rsidRPr="00C90BE5">
        <w:rPr>
          <w:b/>
        </w:rPr>
        <w:t> regionálneho príspevku</w:t>
      </w:r>
      <w:r w:rsidR="00943F0A">
        <w:rPr>
          <w:b/>
        </w:rPr>
        <w:t xml:space="preserve"> podľa jednotlivých priorít v roku 2018</w:t>
      </w:r>
    </w:p>
    <w:p w:rsidR="00C90BE5" w:rsidRPr="00C90BE5" w:rsidRDefault="00C90BE5" w:rsidP="00C90BE5">
      <w:pPr>
        <w:spacing w:after="0" w:line="240" w:lineRule="auto"/>
        <w:jc w:val="left"/>
        <w:rPr>
          <w:b/>
        </w:rPr>
      </w:pP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
        <w:gridCol w:w="2711"/>
        <w:gridCol w:w="1081"/>
        <w:gridCol w:w="1081"/>
        <w:gridCol w:w="812"/>
        <w:gridCol w:w="675"/>
        <w:gridCol w:w="675"/>
        <w:gridCol w:w="811"/>
        <w:gridCol w:w="950"/>
      </w:tblGrid>
      <w:tr w:rsidR="00332909" w:rsidTr="006C5E6A">
        <w:trPr>
          <w:trHeight w:val="813"/>
        </w:trPr>
        <w:tc>
          <w:tcPr>
            <w:tcW w:w="5000" w:type="pct"/>
            <w:gridSpan w:val="9"/>
            <w:shd w:val="clear" w:color="auto" w:fill="BFBFBF"/>
            <w:noWrap/>
            <w:vAlign w:val="center"/>
            <w:hideMark/>
          </w:tcPr>
          <w:p w:rsidR="00332909" w:rsidRDefault="00332909" w:rsidP="00C90BE5">
            <w:pPr>
              <w:spacing w:after="0" w:line="240" w:lineRule="auto"/>
              <w:jc w:val="center"/>
              <w:rPr>
                <w:rFonts w:eastAsia="Times New Roman" w:cs="Times New Roman"/>
                <w:b/>
                <w:bCs/>
                <w:sz w:val="28"/>
                <w:szCs w:val="28"/>
                <w:lang w:eastAsia="sk-SK"/>
              </w:rPr>
            </w:pPr>
            <w:r>
              <w:rPr>
                <w:rFonts w:eastAsia="Times New Roman" w:cs="Times New Roman"/>
                <w:b/>
                <w:bCs/>
                <w:sz w:val="28"/>
                <w:szCs w:val="28"/>
                <w:lang w:eastAsia="sk-SK"/>
              </w:rPr>
              <w:t xml:space="preserve">Návrh rozdelenia regionálneho príspevku pre NRO Bardejov v </w:t>
            </w:r>
            <w:r w:rsidR="00C90BE5">
              <w:rPr>
                <w:rFonts w:eastAsia="Times New Roman" w:cs="Times New Roman"/>
                <w:b/>
                <w:bCs/>
                <w:sz w:val="28"/>
                <w:szCs w:val="28"/>
                <w:lang w:eastAsia="sk-SK"/>
              </w:rPr>
              <w:t>eur</w:t>
            </w:r>
            <w:r>
              <w:rPr>
                <w:rFonts w:eastAsia="Times New Roman" w:cs="Times New Roman"/>
                <w:b/>
                <w:bCs/>
                <w:sz w:val="28"/>
                <w:szCs w:val="28"/>
                <w:lang w:eastAsia="sk-SK"/>
              </w:rPr>
              <w:t xml:space="preserve"> na roky 2018 -2022</w:t>
            </w:r>
          </w:p>
        </w:tc>
      </w:tr>
      <w:tr w:rsidR="00EE2AEE" w:rsidTr="006C5E6A">
        <w:trPr>
          <w:trHeight w:val="924"/>
        </w:trPr>
        <w:tc>
          <w:tcPr>
            <w:tcW w:w="1674" w:type="pct"/>
            <w:gridSpan w:val="2"/>
            <w:shd w:val="clear" w:color="auto" w:fill="D9D9D9"/>
            <w:noWrap/>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Prioritná oblasť/opatrenia/aktivita</w:t>
            </w:r>
          </w:p>
        </w:tc>
        <w:tc>
          <w:tcPr>
            <w:tcW w:w="591" w:type="pct"/>
            <w:shd w:val="clear" w:color="auto" w:fill="D9D9D9"/>
            <w:vAlign w:val="bottom"/>
            <w:hideMark/>
          </w:tcPr>
          <w:p w:rsidR="00332909" w:rsidRDefault="00332909" w:rsidP="00C90BE5">
            <w:pPr>
              <w:spacing w:after="0" w:line="240" w:lineRule="auto"/>
              <w:jc w:val="center"/>
              <w:rPr>
                <w:rFonts w:eastAsia="Times New Roman" w:cs="Times New Roman"/>
                <w:b/>
                <w:bCs/>
                <w:lang w:eastAsia="sk-SK"/>
              </w:rPr>
            </w:pPr>
            <w:r>
              <w:rPr>
                <w:rFonts w:eastAsia="Times New Roman" w:cs="Times New Roman"/>
                <w:b/>
                <w:bCs/>
                <w:lang w:eastAsia="sk-SK"/>
              </w:rPr>
              <w:t xml:space="preserve">Plánovaná výška RP v </w:t>
            </w:r>
            <w:r w:rsidR="00C90BE5">
              <w:rPr>
                <w:rFonts w:eastAsia="Times New Roman" w:cs="Times New Roman"/>
                <w:b/>
                <w:bCs/>
                <w:lang w:eastAsia="sk-SK"/>
              </w:rPr>
              <w:t>eur</w:t>
            </w:r>
          </w:p>
        </w:tc>
        <w:tc>
          <w:tcPr>
            <w:tcW w:w="591" w:type="pct"/>
            <w:shd w:val="clear" w:color="auto" w:fill="D9D9D9"/>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2018</w:t>
            </w:r>
          </w:p>
        </w:tc>
        <w:tc>
          <w:tcPr>
            <w:tcW w:w="444" w:type="pct"/>
            <w:shd w:val="clear" w:color="auto" w:fill="D9D9D9"/>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2019</w:t>
            </w:r>
          </w:p>
        </w:tc>
        <w:tc>
          <w:tcPr>
            <w:tcW w:w="369" w:type="pct"/>
            <w:shd w:val="clear" w:color="auto" w:fill="D9D9D9"/>
            <w:noWrap/>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2020</w:t>
            </w:r>
          </w:p>
        </w:tc>
        <w:tc>
          <w:tcPr>
            <w:tcW w:w="369" w:type="pct"/>
            <w:shd w:val="clear" w:color="auto" w:fill="D9D9D9"/>
            <w:noWrap/>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2021</w:t>
            </w:r>
          </w:p>
        </w:tc>
        <w:tc>
          <w:tcPr>
            <w:tcW w:w="443" w:type="pct"/>
            <w:shd w:val="clear" w:color="auto" w:fill="D9D9D9"/>
            <w:noWrap/>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2022</w:t>
            </w:r>
          </w:p>
        </w:tc>
        <w:tc>
          <w:tcPr>
            <w:tcW w:w="519" w:type="pct"/>
            <w:shd w:val="clear" w:color="auto" w:fill="D9D9D9"/>
            <w:vAlign w:val="center"/>
            <w:hideMark/>
          </w:tcPr>
          <w:p w:rsidR="00332909" w:rsidRDefault="00332909">
            <w:pPr>
              <w:spacing w:after="0" w:line="240" w:lineRule="auto"/>
              <w:jc w:val="center"/>
              <w:rPr>
                <w:rFonts w:eastAsia="Times New Roman" w:cs="Times New Roman"/>
                <w:b/>
                <w:bCs/>
                <w:lang w:eastAsia="sk-SK"/>
              </w:rPr>
            </w:pPr>
            <w:r>
              <w:rPr>
                <w:rFonts w:eastAsia="Times New Roman" w:cs="Times New Roman"/>
                <w:b/>
                <w:bCs/>
                <w:lang w:eastAsia="sk-SK"/>
              </w:rPr>
              <w:t>Spolu RP</w:t>
            </w:r>
          </w:p>
        </w:tc>
      </w:tr>
      <w:tr w:rsidR="00EE2AEE" w:rsidTr="006C5E6A">
        <w:trPr>
          <w:trHeight w:val="398"/>
        </w:trPr>
        <w:tc>
          <w:tcPr>
            <w:tcW w:w="192" w:type="pct"/>
            <w:shd w:val="clear" w:color="auto" w:fill="FFFC8E"/>
            <w:noWrap/>
            <w:vAlign w:val="center"/>
            <w:hideMark/>
          </w:tcPr>
          <w:p w:rsidR="00653E31" w:rsidRDefault="00653E31" w:rsidP="00943F0A">
            <w:pPr>
              <w:spacing w:after="0" w:line="240" w:lineRule="auto"/>
              <w:jc w:val="center"/>
              <w:rPr>
                <w:rFonts w:eastAsia="Times New Roman" w:cs="Times New Roman"/>
                <w:b/>
                <w:bCs/>
                <w:lang w:eastAsia="sk-SK"/>
              </w:rPr>
            </w:pPr>
            <w:r>
              <w:rPr>
                <w:rFonts w:eastAsia="Times New Roman" w:cs="Times New Roman"/>
                <w:b/>
                <w:bCs/>
                <w:lang w:eastAsia="sk-SK"/>
              </w:rPr>
              <w:t>A</w:t>
            </w:r>
            <w:r w:rsidR="00943F0A">
              <w:rPr>
                <w:rFonts w:eastAsia="Times New Roman" w:cs="Times New Roman"/>
                <w:b/>
                <w:bCs/>
                <w:lang w:eastAsia="sk-SK"/>
              </w:rPr>
              <w:t>.</w:t>
            </w:r>
          </w:p>
        </w:tc>
        <w:tc>
          <w:tcPr>
            <w:tcW w:w="1481" w:type="pct"/>
            <w:shd w:val="clear" w:color="auto" w:fill="FFFC8E"/>
            <w:vAlign w:val="bottom"/>
            <w:hideMark/>
          </w:tcPr>
          <w:p w:rsidR="00653E31" w:rsidRPr="00943F0A" w:rsidRDefault="00943F0A" w:rsidP="00653E31">
            <w:pPr>
              <w:spacing w:after="0" w:line="240" w:lineRule="auto"/>
              <w:jc w:val="left"/>
              <w:rPr>
                <w:rFonts w:eastAsia="Times New Roman" w:cs="Times New Roman"/>
                <w:bCs/>
                <w:lang w:eastAsia="sk-SK"/>
              </w:rPr>
            </w:pPr>
            <w:r>
              <w:rPr>
                <w:rFonts w:eastAsia="Times New Roman" w:cs="Times New Roman"/>
                <w:b/>
                <w:bCs/>
                <w:lang w:eastAsia="sk-SK"/>
              </w:rPr>
              <w:t>Systémové opatrenia na podporu implementácie rozvojových aktivít a finančných podpôr</w:t>
            </w:r>
          </w:p>
        </w:tc>
        <w:tc>
          <w:tcPr>
            <w:tcW w:w="591" w:type="pct"/>
            <w:shd w:val="clear" w:color="auto" w:fill="FFFC8E"/>
            <w:noWrap/>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510 000 €</w:t>
            </w:r>
          </w:p>
        </w:tc>
        <w:tc>
          <w:tcPr>
            <w:tcW w:w="591" w:type="pct"/>
            <w:shd w:val="clear" w:color="auto" w:fill="FFFC8E"/>
            <w:noWrap/>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66 000 €</w:t>
            </w:r>
          </w:p>
        </w:tc>
        <w:tc>
          <w:tcPr>
            <w:tcW w:w="444" w:type="pct"/>
            <w:shd w:val="clear" w:color="auto" w:fill="FFFC8E"/>
            <w:noWrap/>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369" w:type="pct"/>
            <w:shd w:val="clear" w:color="auto" w:fill="FFFC8E"/>
            <w:noWrap/>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369" w:type="pct"/>
            <w:shd w:val="clear" w:color="auto" w:fill="FFFC8E"/>
            <w:noWrap/>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443" w:type="pct"/>
            <w:shd w:val="clear" w:color="auto" w:fill="FFFC8E"/>
            <w:noWrap/>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519" w:type="pct"/>
            <w:shd w:val="clear" w:color="auto" w:fill="FFFC8E"/>
            <w:vAlign w:val="bottom"/>
            <w:hideMark/>
          </w:tcPr>
          <w:p w:rsidR="00653E31" w:rsidRDefault="00653E31" w:rsidP="00653E31">
            <w:pPr>
              <w:spacing w:after="0" w:line="240" w:lineRule="auto"/>
              <w:jc w:val="center"/>
              <w:rPr>
                <w:rFonts w:eastAsia="Times New Roman" w:cs="Times New Roman"/>
                <w:b/>
                <w:bCs/>
                <w:lang w:eastAsia="sk-SK"/>
              </w:rPr>
            </w:pPr>
            <w:r>
              <w:rPr>
                <w:rFonts w:eastAsia="Times New Roman" w:cs="Times New Roman"/>
                <w:b/>
                <w:bCs/>
                <w:lang w:eastAsia="sk-SK"/>
              </w:rPr>
              <w:t> </w:t>
            </w:r>
          </w:p>
        </w:tc>
      </w:tr>
      <w:tr w:rsidR="00EE2AEE" w:rsidTr="006C5E6A">
        <w:trPr>
          <w:trHeight w:val="318"/>
        </w:trPr>
        <w:tc>
          <w:tcPr>
            <w:tcW w:w="192"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B.</w:t>
            </w:r>
          </w:p>
        </w:tc>
        <w:tc>
          <w:tcPr>
            <w:tcW w:w="1481" w:type="pct"/>
            <w:shd w:val="clear" w:color="auto" w:fill="FFFC8E"/>
            <w:noWrap/>
            <w:vAlign w:val="bottom"/>
            <w:hideMark/>
          </w:tcPr>
          <w:p w:rsidR="00943F0A" w:rsidRDefault="00943F0A" w:rsidP="00943F0A">
            <w:pPr>
              <w:spacing w:after="0" w:line="240" w:lineRule="auto"/>
              <w:jc w:val="left"/>
              <w:rPr>
                <w:rFonts w:eastAsia="Times New Roman" w:cs="Times New Roman"/>
                <w:b/>
                <w:bCs/>
                <w:lang w:eastAsia="sk-SK"/>
              </w:rPr>
            </w:pPr>
            <w:r>
              <w:rPr>
                <w:rFonts w:eastAsia="Times New Roman" w:cs="Times New Roman"/>
                <w:b/>
                <w:bCs/>
                <w:lang w:eastAsia="sk-SK"/>
              </w:rPr>
              <w:t>Rozvoj regionálnej ekonomiky a inovácií</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1 448 000</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266 000 €</w:t>
            </w:r>
          </w:p>
        </w:tc>
        <w:tc>
          <w:tcPr>
            <w:tcW w:w="444"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369"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369" w:type="pct"/>
            <w:shd w:val="clear" w:color="auto" w:fill="FFFC8E"/>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443"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519"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r>
      <w:tr w:rsidR="00EE2AEE" w:rsidTr="006C5E6A">
        <w:trPr>
          <w:trHeight w:val="318"/>
        </w:trPr>
        <w:tc>
          <w:tcPr>
            <w:tcW w:w="192" w:type="pct"/>
            <w:shd w:val="clear" w:color="auto" w:fill="FFFC8E"/>
            <w:vAlign w:val="center"/>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C.</w:t>
            </w:r>
          </w:p>
        </w:tc>
        <w:tc>
          <w:tcPr>
            <w:tcW w:w="1481" w:type="pct"/>
            <w:shd w:val="clear" w:color="auto" w:fill="FFFC8E"/>
            <w:vAlign w:val="center"/>
            <w:hideMark/>
          </w:tcPr>
          <w:p w:rsidR="00943F0A" w:rsidRDefault="00943F0A" w:rsidP="00943F0A">
            <w:pPr>
              <w:spacing w:after="0" w:line="240" w:lineRule="auto"/>
              <w:jc w:val="left"/>
              <w:rPr>
                <w:rFonts w:eastAsia="Times New Roman" w:cs="Times New Roman"/>
                <w:b/>
                <w:bCs/>
                <w:lang w:eastAsia="sk-SK"/>
              </w:rPr>
            </w:pPr>
            <w:r>
              <w:rPr>
                <w:rFonts w:eastAsia="Times New Roman" w:cs="Times New Roman"/>
                <w:b/>
                <w:bCs/>
                <w:lang w:eastAsia="sk-SK"/>
              </w:rPr>
              <w:t>Vzdelávanie a adaptácia pracovnej sily pre potreby trhu</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957 000 €</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201 000 €</w:t>
            </w:r>
          </w:p>
        </w:tc>
        <w:tc>
          <w:tcPr>
            <w:tcW w:w="444" w:type="pct"/>
            <w:shd w:val="clear" w:color="auto" w:fill="FFFC8E"/>
            <w:noWrap/>
            <w:vAlign w:val="center"/>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369" w:type="pct"/>
            <w:shd w:val="clear" w:color="auto" w:fill="FFFC8E"/>
            <w:vAlign w:val="center"/>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369"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443"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519"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r>
      <w:tr w:rsidR="00EE2AEE" w:rsidTr="006C5E6A">
        <w:trPr>
          <w:trHeight w:val="318"/>
        </w:trPr>
        <w:tc>
          <w:tcPr>
            <w:tcW w:w="192" w:type="pct"/>
            <w:shd w:val="clear" w:color="auto" w:fill="FFFC8E"/>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D.</w:t>
            </w:r>
          </w:p>
        </w:tc>
        <w:tc>
          <w:tcPr>
            <w:tcW w:w="1481" w:type="pct"/>
            <w:shd w:val="clear" w:color="auto" w:fill="FFFC8E"/>
            <w:vAlign w:val="bottom"/>
            <w:hideMark/>
          </w:tcPr>
          <w:p w:rsidR="00943F0A" w:rsidRDefault="00943F0A" w:rsidP="00943F0A">
            <w:pPr>
              <w:spacing w:after="0" w:line="240" w:lineRule="auto"/>
              <w:jc w:val="left"/>
              <w:rPr>
                <w:rFonts w:eastAsia="Times New Roman" w:cs="Times New Roman"/>
                <w:b/>
                <w:bCs/>
                <w:lang w:eastAsia="sk-SK"/>
              </w:rPr>
            </w:pPr>
            <w:r>
              <w:rPr>
                <w:rFonts w:eastAsia="Times New Roman" w:cs="Times New Roman"/>
                <w:b/>
                <w:bCs/>
                <w:lang w:eastAsia="sk-SK"/>
              </w:rPr>
              <w:t>Budovanie infraštruktúry, zvýšenie kvality a dostupnosti služieb</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540 000 €</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190 000 €</w:t>
            </w:r>
          </w:p>
        </w:tc>
        <w:tc>
          <w:tcPr>
            <w:tcW w:w="444" w:type="pct"/>
            <w:shd w:val="clear" w:color="auto" w:fill="FFFC8E"/>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369" w:type="pct"/>
            <w:shd w:val="clear" w:color="auto" w:fill="FFFC8E"/>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369" w:type="pct"/>
            <w:shd w:val="clear" w:color="auto" w:fill="FFFC8E"/>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443" w:type="pct"/>
            <w:shd w:val="clear" w:color="auto" w:fill="FFFC8E"/>
            <w:noWrap/>
            <w:vAlign w:val="bottom"/>
            <w:hideMark/>
          </w:tcPr>
          <w:p w:rsidR="00943F0A" w:rsidRDefault="00943F0A" w:rsidP="00943F0A">
            <w:pPr>
              <w:spacing w:after="0" w:line="240" w:lineRule="auto"/>
              <w:jc w:val="center"/>
              <w:rPr>
                <w:rFonts w:eastAsia="Times New Roman" w:cs="Times New Roman"/>
                <w:lang w:eastAsia="sk-SK"/>
              </w:rPr>
            </w:pPr>
            <w:r>
              <w:rPr>
                <w:rFonts w:eastAsia="Times New Roman" w:cs="Times New Roman"/>
                <w:lang w:eastAsia="sk-SK"/>
              </w:rPr>
              <w:t> </w:t>
            </w:r>
          </w:p>
        </w:tc>
        <w:tc>
          <w:tcPr>
            <w:tcW w:w="519"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 </w:t>
            </w:r>
          </w:p>
        </w:tc>
      </w:tr>
      <w:tr w:rsidR="00EE2AEE" w:rsidTr="006C5E6A">
        <w:trPr>
          <w:trHeight w:val="318"/>
        </w:trPr>
        <w:tc>
          <w:tcPr>
            <w:tcW w:w="192" w:type="pct"/>
            <w:shd w:val="clear" w:color="auto" w:fill="F5F395"/>
            <w:noWrap/>
            <w:vAlign w:val="center"/>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E.</w:t>
            </w:r>
          </w:p>
        </w:tc>
        <w:tc>
          <w:tcPr>
            <w:tcW w:w="1481" w:type="pct"/>
            <w:shd w:val="clear" w:color="auto" w:fill="FFFC8E"/>
            <w:vAlign w:val="center"/>
            <w:hideMark/>
          </w:tcPr>
          <w:p w:rsidR="00943F0A" w:rsidRDefault="00943F0A" w:rsidP="00943F0A">
            <w:pPr>
              <w:spacing w:after="0" w:line="240" w:lineRule="auto"/>
              <w:jc w:val="left"/>
              <w:rPr>
                <w:rFonts w:eastAsia="Times New Roman" w:cs="Times New Roman"/>
                <w:b/>
                <w:bCs/>
                <w:lang w:eastAsia="sk-SK"/>
              </w:rPr>
            </w:pPr>
            <w:r>
              <w:rPr>
                <w:rFonts w:eastAsia="Times New Roman" w:cs="Times New Roman"/>
                <w:b/>
                <w:bCs/>
                <w:lang w:eastAsia="sk-SK"/>
              </w:rPr>
              <w:t>Starostlivosť o životné prostredie</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310 000 €</w:t>
            </w:r>
          </w:p>
        </w:tc>
        <w:tc>
          <w:tcPr>
            <w:tcW w:w="591"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30 000 €</w:t>
            </w:r>
          </w:p>
        </w:tc>
        <w:tc>
          <w:tcPr>
            <w:tcW w:w="444" w:type="pct"/>
            <w:shd w:val="clear" w:color="auto" w:fill="FFFC8E"/>
            <w:noWrap/>
            <w:vAlign w:val="center"/>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369" w:type="pct"/>
            <w:shd w:val="clear" w:color="auto" w:fill="FFFC8E"/>
            <w:noWrap/>
            <w:vAlign w:val="center"/>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369"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443"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 </w:t>
            </w:r>
          </w:p>
        </w:tc>
        <w:tc>
          <w:tcPr>
            <w:tcW w:w="519" w:type="pct"/>
            <w:shd w:val="clear" w:color="auto" w:fill="FFFC8E"/>
            <w:noWrap/>
            <w:vAlign w:val="bottom"/>
            <w:hideMark/>
          </w:tcPr>
          <w:p w:rsidR="00943F0A" w:rsidRDefault="00943F0A" w:rsidP="00943F0A">
            <w:pPr>
              <w:spacing w:after="0" w:line="240" w:lineRule="auto"/>
              <w:jc w:val="center"/>
              <w:rPr>
                <w:rFonts w:eastAsia="Times New Roman" w:cs="Times New Roman"/>
                <w:b/>
                <w:bCs/>
                <w:lang w:eastAsia="sk-SK"/>
              </w:rPr>
            </w:pPr>
            <w:r>
              <w:rPr>
                <w:rFonts w:eastAsia="Times New Roman" w:cs="Times New Roman"/>
                <w:b/>
                <w:bCs/>
                <w:lang w:eastAsia="sk-SK"/>
              </w:rPr>
              <w:t> </w:t>
            </w:r>
          </w:p>
        </w:tc>
      </w:tr>
    </w:tbl>
    <w:p w:rsidR="0037585B" w:rsidRDefault="0037585B" w:rsidP="0037585B">
      <w:pPr>
        <w:spacing w:before="120"/>
      </w:pPr>
      <w:r>
        <w:t>Poznámka: Čerpanie regionálneho príspevku podľa jednotlivých priorít v rokoch 2019-2022 bude stanovené na základe schválených ročných priorít.</w:t>
      </w:r>
    </w:p>
    <w:p w:rsidR="00F97950" w:rsidRDefault="00F97950" w:rsidP="0037585B"/>
    <w:sectPr w:rsidR="00F97950" w:rsidSect="004D2CA9">
      <w:footerReference w:type="defaul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EB" w:rsidRDefault="005922EB" w:rsidP="00332909">
      <w:pPr>
        <w:spacing w:after="0" w:line="240" w:lineRule="auto"/>
      </w:pPr>
      <w:r>
        <w:separator/>
      </w:r>
    </w:p>
  </w:endnote>
  <w:endnote w:type="continuationSeparator" w:id="0">
    <w:p w:rsidR="005922EB" w:rsidRDefault="005922EB" w:rsidP="00332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683550"/>
      <w:docPartObj>
        <w:docPartGallery w:val="Page Numbers (Bottom of Page)"/>
        <w:docPartUnique/>
      </w:docPartObj>
    </w:sdtPr>
    <w:sdtEndPr/>
    <w:sdtContent>
      <w:p w:rsidR="005922EB" w:rsidRDefault="005922EB">
        <w:pPr>
          <w:pStyle w:val="Pta"/>
          <w:jc w:val="center"/>
        </w:pPr>
        <w:r>
          <w:fldChar w:fldCharType="begin"/>
        </w:r>
        <w:r>
          <w:instrText>PAGE   \* MERGEFORMAT</w:instrText>
        </w:r>
        <w:r>
          <w:fldChar w:fldCharType="separate"/>
        </w:r>
        <w:r w:rsidR="00553AB0">
          <w:rPr>
            <w:noProof/>
          </w:rPr>
          <w:t>1</w:t>
        </w:r>
        <w:r>
          <w:rPr>
            <w:noProof/>
          </w:rPr>
          <w:fldChar w:fldCharType="end"/>
        </w:r>
      </w:p>
    </w:sdtContent>
  </w:sdt>
  <w:p w:rsidR="005922EB" w:rsidRDefault="005922EB">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EB" w:rsidRDefault="005922EB" w:rsidP="00332909">
      <w:pPr>
        <w:spacing w:after="0" w:line="240" w:lineRule="auto"/>
      </w:pPr>
      <w:r>
        <w:separator/>
      </w:r>
    </w:p>
  </w:footnote>
  <w:footnote w:type="continuationSeparator" w:id="0">
    <w:p w:rsidR="005922EB" w:rsidRDefault="005922EB" w:rsidP="003329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4785D"/>
    <w:multiLevelType w:val="hybridMultilevel"/>
    <w:tmpl w:val="A9385A1A"/>
    <w:styleLink w:val="ImportedStyle5"/>
    <w:lvl w:ilvl="0" w:tplc="EF680A6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C6EAC3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660E975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77846D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3B2B75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2B4E82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ACAB2C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F4E6AB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A5C4BA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 w15:restartNumberingAfterBreak="0">
    <w:nsid w:val="07242A2B"/>
    <w:multiLevelType w:val="hybridMultilevel"/>
    <w:tmpl w:val="E8A6DBBE"/>
    <w:lvl w:ilvl="0" w:tplc="902ECAAE">
      <w:start w:val="1"/>
      <w:numFmt w:val="lowerRoman"/>
      <w:lvlText w:val="%1."/>
      <w:lvlJc w:val="righ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ED18E7"/>
    <w:multiLevelType w:val="hybridMultilevel"/>
    <w:tmpl w:val="1EBC882A"/>
    <w:lvl w:ilvl="0" w:tplc="041B001B">
      <w:start w:val="1"/>
      <w:numFmt w:val="lowerRoman"/>
      <w:lvlText w:val="%1."/>
      <w:lvlJc w:val="right"/>
      <w:pPr>
        <w:ind w:left="720" w:hanging="360"/>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14067086"/>
    <w:multiLevelType w:val="hybridMultilevel"/>
    <w:tmpl w:val="48B0101A"/>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6515F6A"/>
    <w:multiLevelType w:val="hybridMultilevel"/>
    <w:tmpl w:val="3D36A382"/>
    <w:lvl w:ilvl="0" w:tplc="0052A5C6">
      <w:start w:val="1"/>
      <w:numFmt w:val="lowerRoman"/>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440585"/>
    <w:multiLevelType w:val="hybridMultilevel"/>
    <w:tmpl w:val="FEEC69C0"/>
    <w:styleLink w:val="ImportedStyle50"/>
    <w:lvl w:ilvl="0" w:tplc="69A44820">
      <w:start w:val="1"/>
      <w:numFmt w:val="upperRoman"/>
      <w:lvlText w:val="%1."/>
      <w:lvlJc w:val="left"/>
      <w:pPr>
        <w:ind w:left="1080" w:hanging="720"/>
      </w:pPr>
      <w:rPr>
        <w:rFonts w:hAnsi="Arial Unicode MS"/>
        <w:caps w:val="0"/>
        <w:smallCaps w:val="0"/>
        <w:strike w:val="0"/>
        <w:dstrike w:val="0"/>
        <w:color w:val="000000"/>
        <w:spacing w:val="0"/>
        <w:w w:val="100"/>
        <w:kern w:val="0"/>
        <w:position w:val="0"/>
        <w:highlight w:val="none"/>
        <w:u w:val="none"/>
        <w:effect w:val="none"/>
        <w:vertAlign w:val="baseline"/>
      </w:rPr>
    </w:lvl>
    <w:lvl w:ilvl="1" w:tplc="6370572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F59CFBC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u w:val="none"/>
        <w:effect w:val="none"/>
        <w:vertAlign w:val="baseline"/>
      </w:rPr>
    </w:lvl>
    <w:lvl w:ilvl="3" w:tplc="47B8F48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803881B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CF381B0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u w:val="none"/>
        <w:effect w:val="none"/>
        <w:vertAlign w:val="baseline"/>
      </w:rPr>
    </w:lvl>
    <w:lvl w:ilvl="6" w:tplc="9C90E97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0BBA5BD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967ED59C">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 w15:restartNumberingAfterBreak="0">
    <w:nsid w:val="1D6F5510"/>
    <w:multiLevelType w:val="hybridMultilevel"/>
    <w:tmpl w:val="08BEAF82"/>
    <w:lvl w:ilvl="0" w:tplc="041B0017">
      <w:start w:val="1"/>
      <w:numFmt w:val="lowerLetter"/>
      <w:lvlText w:val="%1)"/>
      <w:lvlJc w:val="left"/>
      <w:pPr>
        <w:ind w:left="720" w:hanging="360"/>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27125E46">
      <w:start w:val="1"/>
      <w:numFmt w:val="bullet"/>
      <w:lvlText w:val="•"/>
      <w:lvlJc w:val="left"/>
      <w:pPr>
        <w:ind w:left="1785" w:hanging="70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1F4AC8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3516FD9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412CA0C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992E1CF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B9C185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ACABAC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45C964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 w15:restartNumberingAfterBreak="0">
    <w:nsid w:val="1F665574"/>
    <w:multiLevelType w:val="hybridMultilevel"/>
    <w:tmpl w:val="29D2DD88"/>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 w15:restartNumberingAfterBreak="0">
    <w:nsid w:val="1FF7781D"/>
    <w:multiLevelType w:val="hybridMultilevel"/>
    <w:tmpl w:val="8A16FB5A"/>
    <w:lvl w:ilvl="0" w:tplc="0052A5C6">
      <w:start w:val="1"/>
      <w:numFmt w:val="lowerRoman"/>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 w15:restartNumberingAfterBreak="0">
    <w:nsid w:val="217073B2"/>
    <w:multiLevelType w:val="hybridMultilevel"/>
    <w:tmpl w:val="978C5790"/>
    <w:lvl w:ilvl="0" w:tplc="0052A5C6">
      <w:start w:val="1"/>
      <w:numFmt w:val="lowerRoman"/>
      <w:lvlText w:val="%1."/>
      <w:lvlJc w:val="left"/>
      <w:pPr>
        <w:ind w:left="720" w:hanging="360"/>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3F6C7F3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494C6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885A7A9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45E8B8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634A18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FA4C3E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A0A8F08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2CE3DC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 w15:restartNumberingAfterBreak="0">
    <w:nsid w:val="251D7382"/>
    <w:multiLevelType w:val="hybridMultilevel"/>
    <w:tmpl w:val="64D6ECDE"/>
    <w:lvl w:ilvl="0" w:tplc="041B0015">
      <w:start w:val="1"/>
      <w:numFmt w:val="upp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 w15:restartNumberingAfterBreak="0">
    <w:nsid w:val="28017A53"/>
    <w:multiLevelType w:val="hybridMultilevel"/>
    <w:tmpl w:val="10EC9230"/>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2" w15:restartNumberingAfterBreak="0">
    <w:nsid w:val="2B922965"/>
    <w:multiLevelType w:val="hybridMultilevel"/>
    <w:tmpl w:val="5FFC9D02"/>
    <w:styleLink w:val="ImportedStyle4"/>
    <w:lvl w:ilvl="0" w:tplc="D374C00A">
      <w:start w:val="1"/>
      <w:numFmt w:val="bullet"/>
      <w:lvlText w:val="•"/>
      <w:lvlJc w:val="left"/>
      <w:pPr>
        <w:ind w:left="786"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F22E87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081451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40CA1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4AEC2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9F6465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D144C54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E1CE1B9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D82EFF2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 w15:restartNumberingAfterBreak="0">
    <w:nsid w:val="2CC410E8"/>
    <w:multiLevelType w:val="hybridMultilevel"/>
    <w:tmpl w:val="69DA4AF6"/>
    <w:lvl w:ilvl="0" w:tplc="0052A5C6">
      <w:start w:val="1"/>
      <w:numFmt w:val="lowerRoman"/>
      <w:lvlText w:val="%1."/>
      <w:lvlJc w:val="left"/>
      <w:pPr>
        <w:ind w:left="720" w:hanging="436"/>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4E6AAAD8">
      <w:start w:val="1"/>
      <w:numFmt w:val="bullet"/>
      <w:lvlText w:val="o"/>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7DAB3BE">
      <w:start w:val="1"/>
      <w:numFmt w:val="bullet"/>
      <w:lvlText w:val="▪"/>
      <w:lvlJc w:val="left"/>
      <w:pPr>
        <w:ind w:left="21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9EC72D8">
      <w:start w:val="1"/>
      <w:numFmt w:val="bullet"/>
      <w:lvlText w:val="•"/>
      <w:lvlJc w:val="left"/>
      <w:pPr>
        <w:ind w:left="70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4E6A8E34">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EFC46CC">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80F0DF52">
      <w:start w:val="1"/>
      <w:numFmt w:val="bullet"/>
      <w:lvlText w:val="•"/>
      <w:lvlJc w:val="left"/>
      <w:pPr>
        <w:ind w:left="286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E9D8B7FA">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BC9C40">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2D68278C"/>
    <w:multiLevelType w:val="hybridMultilevel"/>
    <w:tmpl w:val="C5F03F7C"/>
    <w:styleLink w:val="ImportedStyle9"/>
    <w:lvl w:ilvl="0" w:tplc="DE5891DC">
      <w:start w:val="1"/>
      <w:numFmt w:val="bullet"/>
      <w:lvlText w:val="•"/>
      <w:lvlJc w:val="left"/>
      <w:pPr>
        <w:ind w:left="79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52EEF6F6">
      <w:start w:val="1"/>
      <w:numFmt w:val="bullet"/>
      <w:lvlText w:val="o"/>
      <w:lvlJc w:val="left"/>
      <w:pPr>
        <w:ind w:left="151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9C24F48">
      <w:start w:val="1"/>
      <w:numFmt w:val="bullet"/>
      <w:lvlText w:val="▪"/>
      <w:lvlJc w:val="left"/>
      <w:pPr>
        <w:ind w:left="223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454411A">
      <w:start w:val="1"/>
      <w:numFmt w:val="bullet"/>
      <w:lvlText w:val="•"/>
      <w:lvlJc w:val="left"/>
      <w:pPr>
        <w:ind w:left="295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7968328">
      <w:start w:val="1"/>
      <w:numFmt w:val="bullet"/>
      <w:lvlText w:val="o"/>
      <w:lvlJc w:val="left"/>
      <w:pPr>
        <w:ind w:left="367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D7CA204">
      <w:start w:val="1"/>
      <w:numFmt w:val="bullet"/>
      <w:lvlText w:val="▪"/>
      <w:lvlJc w:val="left"/>
      <w:pPr>
        <w:ind w:left="439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84AD704">
      <w:start w:val="1"/>
      <w:numFmt w:val="bullet"/>
      <w:lvlText w:val="•"/>
      <w:lvlJc w:val="left"/>
      <w:pPr>
        <w:ind w:left="511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E4254EC">
      <w:start w:val="1"/>
      <w:numFmt w:val="bullet"/>
      <w:lvlText w:val="o"/>
      <w:lvlJc w:val="left"/>
      <w:pPr>
        <w:ind w:left="583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769C9BE8">
      <w:start w:val="1"/>
      <w:numFmt w:val="bullet"/>
      <w:lvlText w:val="▪"/>
      <w:lvlJc w:val="left"/>
      <w:pPr>
        <w:ind w:left="655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5" w15:restartNumberingAfterBreak="0">
    <w:nsid w:val="2ECC7AC2"/>
    <w:multiLevelType w:val="hybridMultilevel"/>
    <w:tmpl w:val="86D2AE8C"/>
    <w:styleLink w:val="ImportedStyle2"/>
    <w:lvl w:ilvl="0" w:tplc="CA28D520">
      <w:start w:val="1"/>
      <w:numFmt w:val="bullet"/>
      <w:lvlText w:val="•"/>
      <w:lvlJc w:val="left"/>
      <w:pPr>
        <w:tabs>
          <w:tab w:val="left" w:pos="720"/>
        </w:tabs>
        <w:ind w:left="71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A56CD310">
      <w:start w:val="1"/>
      <w:numFmt w:val="bullet"/>
      <w:lvlText w:val="•"/>
      <w:lvlJc w:val="left"/>
      <w:pPr>
        <w:tabs>
          <w:tab w:val="left" w:pos="720"/>
        </w:tabs>
        <w:ind w:left="143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AB3EFF90">
      <w:start w:val="1"/>
      <w:numFmt w:val="bullet"/>
      <w:lvlText w:val="•"/>
      <w:lvlJc w:val="left"/>
      <w:pPr>
        <w:tabs>
          <w:tab w:val="left" w:pos="720"/>
        </w:tabs>
        <w:ind w:left="215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EB141F7C">
      <w:start w:val="1"/>
      <w:numFmt w:val="bullet"/>
      <w:lvlText w:val="•"/>
      <w:lvlJc w:val="left"/>
      <w:pPr>
        <w:tabs>
          <w:tab w:val="left" w:pos="720"/>
        </w:tabs>
        <w:ind w:left="287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45AAEC40">
      <w:start w:val="1"/>
      <w:numFmt w:val="bullet"/>
      <w:lvlText w:val="•"/>
      <w:lvlJc w:val="left"/>
      <w:pPr>
        <w:tabs>
          <w:tab w:val="left" w:pos="720"/>
        </w:tabs>
        <w:ind w:left="359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E67A7CCC">
      <w:start w:val="1"/>
      <w:numFmt w:val="bullet"/>
      <w:lvlText w:val="•"/>
      <w:lvlJc w:val="left"/>
      <w:pPr>
        <w:tabs>
          <w:tab w:val="left" w:pos="720"/>
        </w:tabs>
        <w:ind w:left="431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450EB52E">
      <w:start w:val="1"/>
      <w:numFmt w:val="bullet"/>
      <w:lvlText w:val="•"/>
      <w:lvlJc w:val="left"/>
      <w:pPr>
        <w:tabs>
          <w:tab w:val="left" w:pos="720"/>
        </w:tabs>
        <w:ind w:left="503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C464580">
      <w:start w:val="1"/>
      <w:numFmt w:val="bullet"/>
      <w:lvlText w:val="•"/>
      <w:lvlJc w:val="left"/>
      <w:pPr>
        <w:tabs>
          <w:tab w:val="left" w:pos="720"/>
        </w:tabs>
        <w:ind w:left="575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D302B3DC">
      <w:start w:val="1"/>
      <w:numFmt w:val="bullet"/>
      <w:lvlText w:val="•"/>
      <w:lvlJc w:val="left"/>
      <w:pPr>
        <w:tabs>
          <w:tab w:val="left" w:pos="720"/>
        </w:tabs>
        <w:ind w:left="6474"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 w15:restartNumberingAfterBreak="0">
    <w:nsid w:val="2FCF424A"/>
    <w:multiLevelType w:val="hybridMultilevel"/>
    <w:tmpl w:val="AA945948"/>
    <w:lvl w:ilvl="0" w:tplc="8C7A9AAC">
      <w:numFmt w:val="bullet"/>
      <w:lvlText w:val="-"/>
      <w:lvlJc w:val="left"/>
      <w:pPr>
        <w:ind w:left="7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7" w15:restartNumberingAfterBreak="0">
    <w:nsid w:val="30C23351"/>
    <w:multiLevelType w:val="hybridMultilevel"/>
    <w:tmpl w:val="C992A0A6"/>
    <w:styleLink w:val="ImportedStyle6"/>
    <w:lvl w:ilvl="0" w:tplc="85628B7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FA10D168">
      <w:start w:val="1"/>
      <w:numFmt w:val="bullet"/>
      <w:lvlText w:val="•"/>
      <w:lvlJc w:val="left"/>
      <w:pPr>
        <w:ind w:left="1785" w:hanging="70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3C9ED3D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CD6448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8AB0102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EC4B5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A5002F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FD3C79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15A179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35F9610C"/>
    <w:multiLevelType w:val="hybridMultilevel"/>
    <w:tmpl w:val="9878CC9E"/>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9" w15:restartNumberingAfterBreak="0">
    <w:nsid w:val="38304AAE"/>
    <w:multiLevelType w:val="hybridMultilevel"/>
    <w:tmpl w:val="99000C0A"/>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0" w15:restartNumberingAfterBreak="0">
    <w:nsid w:val="38321E8A"/>
    <w:multiLevelType w:val="hybridMultilevel"/>
    <w:tmpl w:val="8CEE19E6"/>
    <w:lvl w:ilvl="0" w:tplc="EFEE424C">
      <w:start w:val="1"/>
      <w:numFmt w:val="bullet"/>
      <w:lvlText w:val="▪"/>
      <w:lvlJc w:val="left"/>
      <w:pPr>
        <w:ind w:left="14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2148" w:hanging="360"/>
      </w:pPr>
      <w:rPr>
        <w:rFonts w:ascii="Courier New" w:hAnsi="Courier New" w:cs="Courier New" w:hint="default"/>
      </w:rPr>
    </w:lvl>
    <w:lvl w:ilvl="2" w:tplc="041B0005">
      <w:start w:val="1"/>
      <w:numFmt w:val="bullet"/>
      <w:lvlText w:val=""/>
      <w:lvlJc w:val="left"/>
      <w:pPr>
        <w:ind w:left="2868" w:hanging="360"/>
      </w:pPr>
      <w:rPr>
        <w:rFonts w:ascii="Wingdings" w:hAnsi="Wingdings" w:hint="default"/>
      </w:rPr>
    </w:lvl>
    <w:lvl w:ilvl="3" w:tplc="041B0001">
      <w:start w:val="1"/>
      <w:numFmt w:val="bullet"/>
      <w:lvlText w:val=""/>
      <w:lvlJc w:val="left"/>
      <w:pPr>
        <w:ind w:left="3588" w:hanging="360"/>
      </w:pPr>
      <w:rPr>
        <w:rFonts w:ascii="Symbol" w:hAnsi="Symbol" w:hint="default"/>
      </w:rPr>
    </w:lvl>
    <w:lvl w:ilvl="4" w:tplc="041B0003">
      <w:start w:val="1"/>
      <w:numFmt w:val="bullet"/>
      <w:lvlText w:val="o"/>
      <w:lvlJc w:val="left"/>
      <w:pPr>
        <w:ind w:left="4308" w:hanging="360"/>
      </w:pPr>
      <w:rPr>
        <w:rFonts w:ascii="Courier New" w:hAnsi="Courier New" w:cs="Courier New" w:hint="default"/>
      </w:rPr>
    </w:lvl>
    <w:lvl w:ilvl="5" w:tplc="041B0005">
      <w:start w:val="1"/>
      <w:numFmt w:val="bullet"/>
      <w:lvlText w:val=""/>
      <w:lvlJc w:val="left"/>
      <w:pPr>
        <w:ind w:left="5028" w:hanging="360"/>
      </w:pPr>
      <w:rPr>
        <w:rFonts w:ascii="Wingdings" w:hAnsi="Wingdings" w:hint="default"/>
      </w:rPr>
    </w:lvl>
    <w:lvl w:ilvl="6" w:tplc="041B0001">
      <w:start w:val="1"/>
      <w:numFmt w:val="bullet"/>
      <w:lvlText w:val=""/>
      <w:lvlJc w:val="left"/>
      <w:pPr>
        <w:ind w:left="5748" w:hanging="360"/>
      </w:pPr>
      <w:rPr>
        <w:rFonts w:ascii="Symbol" w:hAnsi="Symbol" w:hint="default"/>
      </w:rPr>
    </w:lvl>
    <w:lvl w:ilvl="7" w:tplc="041B0003">
      <w:start w:val="1"/>
      <w:numFmt w:val="bullet"/>
      <w:lvlText w:val="o"/>
      <w:lvlJc w:val="left"/>
      <w:pPr>
        <w:ind w:left="6468" w:hanging="360"/>
      </w:pPr>
      <w:rPr>
        <w:rFonts w:ascii="Courier New" w:hAnsi="Courier New" w:cs="Courier New" w:hint="default"/>
      </w:rPr>
    </w:lvl>
    <w:lvl w:ilvl="8" w:tplc="041B0005">
      <w:start w:val="1"/>
      <w:numFmt w:val="bullet"/>
      <w:lvlText w:val=""/>
      <w:lvlJc w:val="left"/>
      <w:pPr>
        <w:ind w:left="7188" w:hanging="360"/>
      </w:pPr>
      <w:rPr>
        <w:rFonts w:ascii="Wingdings" w:hAnsi="Wingdings" w:hint="default"/>
      </w:rPr>
    </w:lvl>
  </w:abstractNum>
  <w:abstractNum w:abstractNumId="21" w15:restartNumberingAfterBreak="0">
    <w:nsid w:val="394973CA"/>
    <w:multiLevelType w:val="hybridMultilevel"/>
    <w:tmpl w:val="A22CFD7C"/>
    <w:styleLink w:val="ImportedStyle10"/>
    <w:lvl w:ilvl="0" w:tplc="0CACA692">
      <w:start w:val="1"/>
      <w:numFmt w:val="decimal"/>
      <w:lvlText w:val="%1."/>
      <w:lvlJc w:val="left"/>
      <w:pPr>
        <w:tabs>
          <w:tab w:val="left" w:pos="720"/>
          <w:tab w:val="num" w:pos="1416"/>
        </w:tabs>
        <w:ind w:left="720"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D6B8E0E4">
      <w:start w:val="1"/>
      <w:numFmt w:val="decimal"/>
      <w:lvlText w:val="%2."/>
      <w:lvlJc w:val="left"/>
      <w:pPr>
        <w:tabs>
          <w:tab w:val="left" w:pos="720"/>
          <w:tab w:val="num" w:pos="2136"/>
        </w:tabs>
        <w:ind w:left="1440" w:firstLine="12"/>
      </w:pPr>
      <w:rPr>
        <w:rFonts w:hAnsi="Arial Unicode MS"/>
        <w:caps w:val="0"/>
        <w:smallCaps w:val="0"/>
        <w:strike w:val="0"/>
        <w:dstrike w:val="0"/>
        <w:color w:val="000000"/>
        <w:spacing w:val="0"/>
        <w:w w:val="100"/>
        <w:kern w:val="0"/>
        <w:position w:val="0"/>
        <w:highlight w:val="none"/>
        <w:u w:val="none"/>
        <w:effect w:val="none"/>
        <w:vertAlign w:val="baseline"/>
      </w:rPr>
    </w:lvl>
    <w:lvl w:ilvl="2" w:tplc="42ECDEC0">
      <w:start w:val="1"/>
      <w:numFmt w:val="decimal"/>
      <w:lvlText w:val="%3."/>
      <w:lvlJc w:val="left"/>
      <w:pPr>
        <w:tabs>
          <w:tab w:val="left" w:pos="720"/>
          <w:tab w:val="num" w:pos="2856"/>
        </w:tabs>
        <w:ind w:left="2160" w:firstLine="24"/>
      </w:pPr>
      <w:rPr>
        <w:rFonts w:hAnsi="Arial Unicode MS"/>
        <w:caps w:val="0"/>
        <w:smallCaps w:val="0"/>
        <w:strike w:val="0"/>
        <w:dstrike w:val="0"/>
        <w:color w:val="000000"/>
        <w:spacing w:val="0"/>
        <w:w w:val="100"/>
        <w:kern w:val="0"/>
        <w:position w:val="0"/>
        <w:highlight w:val="none"/>
        <w:u w:val="none"/>
        <w:effect w:val="none"/>
        <w:vertAlign w:val="baseline"/>
      </w:rPr>
    </w:lvl>
    <w:lvl w:ilvl="3" w:tplc="FE6E5008">
      <w:start w:val="1"/>
      <w:numFmt w:val="decimal"/>
      <w:lvlText w:val="%4."/>
      <w:lvlJc w:val="left"/>
      <w:pPr>
        <w:tabs>
          <w:tab w:val="left" w:pos="720"/>
          <w:tab w:val="num" w:pos="3576"/>
        </w:tabs>
        <w:ind w:left="2880" w:firstLine="36"/>
      </w:pPr>
      <w:rPr>
        <w:rFonts w:hAnsi="Arial Unicode MS"/>
        <w:caps w:val="0"/>
        <w:smallCaps w:val="0"/>
        <w:strike w:val="0"/>
        <w:dstrike w:val="0"/>
        <w:color w:val="000000"/>
        <w:spacing w:val="0"/>
        <w:w w:val="100"/>
        <w:kern w:val="0"/>
        <w:position w:val="0"/>
        <w:highlight w:val="none"/>
        <w:u w:val="none"/>
        <w:effect w:val="none"/>
        <w:vertAlign w:val="baseline"/>
      </w:rPr>
    </w:lvl>
    <w:lvl w:ilvl="4" w:tplc="C2FCF942">
      <w:start w:val="1"/>
      <w:numFmt w:val="decimal"/>
      <w:lvlText w:val="%5."/>
      <w:lvlJc w:val="left"/>
      <w:pPr>
        <w:tabs>
          <w:tab w:val="left" w:pos="720"/>
          <w:tab w:val="num" w:pos="4296"/>
        </w:tabs>
        <w:ind w:left="3600" w:firstLine="48"/>
      </w:pPr>
      <w:rPr>
        <w:rFonts w:hAnsi="Arial Unicode MS"/>
        <w:caps w:val="0"/>
        <w:smallCaps w:val="0"/>
        <w:strike w:val="0"/>
        <w:dstrike w:val="0"/>
        <w:color w:val="000000"/>
        <w:spacing w:val="0"/>
        <w:w w:val="100"/>
        <w:kern w:val="0"/>
        <w:position w:val="0"/>
        <w:highlight w:val="none"/>
        <w:u w:val="none"/>
        <w:effect w:val="none"/>
        <w:vertAlign w:val="baseline"/>
      </w:rPr>
    </w:lvl>
    <w:lvl w:ilvl="5" w:tplc="E7E013C8">
      <w:start w:val="1"/>
      <w:numFmt w:val="decimal"/>
      <w:lvlText w:val="%6."/>
      <w:lvlJc w:val="left"/>
      <w:pPr>
        <w:tabs>
          <w:tab w:val="left" w:pos="720"/>
          <w:tab w:val="num" w:pos="5016"/>
        </w:tabs>
        <w:ind w:left="4320" w:firstLine="60"/>
      </w:pPr>
      <w:rPr>
        <w:rFonts w:hAnsi="Arial Unicode MS"/>
        <w:caps w:val="0"/>
        <w:smallCaps w:val="0"/>
        <w:strike w:val="0"/>
        <w:dstrike w:val="0"/>
        <w:color w:val="000000"/>
        <w:spacing w:val="0"/>
        <w:w w:val="100"/>
        <w:kern w:val="0"/>
        <w:position w:val="0"/>
        <w:highlight w:val="none"/>
        <w:u w:val="none"/>
        <w:effect w:val="none"/>
        <w:vertAlign w:val="baseline"/>
      </w:rPr>
    </w:lvl>
    <w:lvl w:ilvl="6" w:tplc="3CFE48C0">
      <w:start w:val="1"/>
      <w:numFmt w:val="decimal"/>
      <w:lvlText w:val="%7."/>
      <w:lvlJc w:val="left"/>
      <w:pPr>
        <w:tabs>
          <w:tab w:val="left" w:pos="720"/>
          <w:tab w:val="num" w:pos="5736"/>
        </w:tabs>
        <w:ind w:left="5040" w:firstLine="72"/>
      </w:pPr>
      <w:rPr>
        <w:rFonts w:hAnsi="Arial Unicode MS"/>
        <w:caps w:val="0"/>
        <w:smallCaps w:val="0"/>
        <w:strike w:val="0"/>
        <w:dstrike w:val="0"/>
        <w:color w:val="000000"/>
        <w:spacing w:val="0"/>
        <w:w w:val="100"/>
        <w:kern w:val="0"/>
        <w:position w:val="0"/>
        <w:highlight w:val="none"/>
        <w:u w:val="none"/>
        <w:effect w:val="none"/>
        <w:vertAlign w:val="baseline"/>
      </w:rPr>
    </w:lvl>
    <w:lvl w:ilvl="7" w:tplc="7F3A5742">
      <w:start w:val="1"/>
      <w:numFmt w:val="decimal"/>
      <w:lvlText w:val="%8."/>
      <w:lvlJc w:val="left"/>
      <w:pPr>
        <w:tabs>
          <w:tab w:val="left" w:pos="720"/>
          <w:tab w:val="num" w:pos="6456"/>
        </w:tabs>
        <w:ind w:left="5760" w:firstLine="84"/>
      </w:pPr>
      <w:rPr>
        <w:rFonts w:hAnsi="Arial Unicode MS"/>
        <w:caps w:val="0"/>
        <w:smallCaps w:val="0"/>
        <w:strike w:val="0"/>
        <w:dstrike w:val="0"/>
        <w:color w:val="000000"/>
        <w:spacing w:val="0"/>
        <w:w w:val="100"/>
        <w:kern w:val="0"/>
        <w:position w:val="0"/>
        <w:highlight w:val="none"/>
        <w:u w:val="none"/>
        <w:effect w:val="none"/>
        <w:vertAlign w:val="baseline"/>
      </w:rPr>
    </w:lvl>
    <w:lvl w:ilvl="8" w:tplc="0C58DF22">
      <w:start w:val="1"/>
      <w:numFmt w:val="decimal"/>
      <w:lvlText w:val="%9."/>
      <w:lvlJc w:val="left"/>
      <w:pPr>
        <w:tabs>
          <w:tab w:val="left" w:pos="720"/>
          <w:tab w:val="num" w:pos="7176"/>
        </w:tabs>
        <w:ind w:left="6480" w:firstLine="9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2" w15:restartNumberingAfterBreak="0">
    <w:nsid w:val="399C6840"/>
    <w:multiLevelType w:val="hybridMultilevel"/>
    <w:tmpl w:val="3A0686B6"/>
    <w:lvl w:ilvl="0" w:tplc="041B0013">
      <w:start w:val="1"/>
      <w:numFmt w:val="upperRoman"/>
      <w:lvlText w:val="%1."/>
      <w:lvlJc w:val="righ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23" w15:restartNumberingAfterBreak="0">
    <w:nsid w:val="3A435F43"/>
    <w:multiLevelType w:val="hybridMultilevel"/>
    <w:tmpl w:val="8DD4A798"/>
    <w:lvl w:ilvl="0" w:tplc="041B001B">
      <w:start w:val="1"/>
      <w:numFmt w:val="lowerRoman"/>
      <w:lvlText w:val="%1."/>
      <w:lvlJc w:val="righ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4" w15:restartNumberingAfterBreak="0">
    <w:nsid w:val="3A5D338E"/>
    <w:multiLevelType w:val="hybridMultilevel"/>
    <w:tmpl w:val="3A6A5CC4"/>
    <w:lvl w:ilvl="0" w:tplc="0052A5C6">
      <w:start w:val="1"/>
      <w:numFmt w:val="lowerRoman"/>
      <w:lvlText w:val="%1."/>
      <w:lvlJc w:val="left"/>
      <w:pPr>
        <w:ind w:left="1080" w:hanging="360"/>
      </w:pPr>
      <w:rPr>
        <w:rFonts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cs="Courier New" w:hint="default"/>
      </w:rPr>
    </w:lvl>
    <w:lvl w:ilvl="8" w:tplc="041B0005">
      <w:start w:val="1"/>
      <w:numFmt w:val="bullet"/>
      <w:lvlText w:val=""/>
      <w:lvlJc w:val="left"/>
      <w:pPr>
        <w:ind w:left="6840" w:hanging="360"/>
      </w:pPr>
      <w:rPr>
        <w:rFonts w:ascii="Wingdings" w:hAnsi="Wingdings" w:hint="default"/>
      </w:rPr>
    </w:lvl>
  </w:abstractNum>
  <w:abstractNum w:abstractNumId="25" w15:restartNumberingAfterBreak="0">
    <w:nsid w:val="3BF1470A"/>
    <w:multiLevelType w:val="hybridMultilevel"/>
    <w:tmpl w:val="23D2A3BC"/>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6" w15:restartNumberingAfterBreak="0">
    <w:nsid w:val="3C752087"/>
    <w:multiLevelType w:val="hybridMultilevel"/>
    <w:tmpl w:val="32124B38"/>
    <w:lvl w:ilvl="0" w:tplc="0052A5C6">
      <w:start w:val="1"/>
      <w:numFmt w:val="lowerRoman"/>
      <w:lvlText w:val="%1."/>
      <w:lvlJc w:val="left"/>
      <w:pPr>
        <w:ind w:left="786" w:hanging="360"/>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19423D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DBE882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AA2FA8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2B4C0B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AF2532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D1470F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1B0B6E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2C00B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3E8D6F46"/>
    <w:multiLevelType w:val="hybridMultilevel"/>
    <w:tmpl w:val="5F9EC25E"/>
    <w:styleLink w:val="ImportedStyle16"/>
    <w:lvl w:ilvl="0" w:tplc="47A01F8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F57ACFBE">
      <w:start w:val="1"/>
      <w:numFmt w:val="bullet"/>
      <w:lvlText w:val="•"/>
      <w:lvlJc w:val="left"/>
      <w:pPr>
        <w:ind w:left="56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4C0A79D4">
      <w:start w:val="1"/>
      <w:numFmt w:val="bullet"/>
      <w:lvlText w:val="▪"/>
      <w:lvlJc w:val="left"/>
      <w:pPr>
        <w:ind w:left="128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47C02390">
      <w:start w:val="1"/>
      <w:numFmt w:val="bullet"/>
      <w:lvlText w:val="•"/>
      <w:lvlJc w:val="left"/>
      <w:pPr>
        <w:ind w:left="200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AAADF0E">
      <w:start w:val="1"/>
      <w:numFmt w:val="bullet"/>
      <w:lvlText w:val="o"/>
      <w:lvlJc w:val="left"/>
      <w:pPr>
        <w:ind w:left="272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AA7E3AE8">
      <w:start w:val="1"/>
      <w:numFmt w:val="bullet"/>
      <w:lvlText w:val="▪"/>
      <w:lvlJc w:val="left"/>
      <w:pPr>
        <w:ind w:left="344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33268BFA">
      <w:start w:val="1"/>
      <w:numFmt w:val="bullet"/>
      <w:lvlText w:val="•"/>
      <w:lvlJc w:val="left"/>
      <w:pPr>
        <w:ind w:left="416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613E1C5A">
      <w:start w:val="1"/>
      <w:numFmt w:val="bullet"/>
      <w:lvlText w:val="o"/>
      <w:lvlJc w:val="left"/>
      <w:pPr>
        <w:ind w:left="488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00783E22">
      <w:start w:val="1"/>
      <w:numFmt w:val="bullet"/>
      <w:lvlText w:val="▪"/>
      <w:lvlJc w:val="left"/>
      <w:pPr>
        <w:ind w:left="5607"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8" w15:restartNumberingAfterBreak="0">
    <w:nsid w:val="3EE814EA"/>
    <w:multiLevelType w:val="hybridMultilevel"/>
    <w:tmpl w:val="02781160"/>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9" w15:restartNumberingAfterBreak="0">
    <w:nsid w:val="415D3E8E"/>
    <w:multiLevelType w:val="hybridMultilevel"/>
    <w:tmpl w:val="33F80DDA"/>
    <w:lvl w:ilvl="0" w:tplc="0052A5C6">
      <w:start w:val="1"/>
      <w:numFmt w:val="lowerRoman"/>
      <w:lvlText w:val="%1."/>
      <w:lvlJc w:val="left"/>
      <w:pPr>
        <w:ind w:left="572" w:hanging="357"/>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0ECA342">
      <w:start w:val="1"/>
      <w:numFmt w:val="bullet"/>
      <w:lvlText w:val="o"/>
      <w:lvlJc w:val="left"/>
      <w:pPr>
        <w:ind w:left="129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8764F58">
      <w:start w:val="1"/>
      <w:numFmt w:val="bullet"/>
      <w:lvlText w:val="▪"/>
      <w:lvlJc w:val="left"/>
      <w:pPr>
        <w:ind w:left="201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4303164">
      <w:start w:val="1"/>
      <w:numFmt w:val="bullet"/>
      <w:lvlText w:val="•"/>
      <w:lvlJc w:val="left"/>
      <w:pPr>
        <w:ind w:left="2732"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40E039DA">
      <w:start w:val="1"/>
      <w:numFmt w:val="bullet"/>
      <w:lvlText w:val="o"/>
      <w:lvlJc w:val="left"/>
      <w:pPr>
        <w:ind w:left="345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8220416">
      <w:start w:val="1"/>
      <w:numFmt w:val="bullet"/>
      <w:lvlText w:val="▪"/>
      <w:lvlJc w:val="left"/>
      <w:pPr>
        <w:ind w:left="417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9CA048">
      <w:start w:val="1"/>
      <w:numFmt w:val="bullet"/>
      <w:lvlText w:val="•"/>
      <w:lvlJc w:val="left"/>
      <w:pPr>
        <w:ind w:left="4892"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CF2058A">
      <w:start w:val="1"/>
      <w:numFmt w:val="bullet"/>
      <w:lvlText w:val="o"/>
      <w:lvlJc w:val="left"/>
      <w:pPr>
        <w:ind w:left="561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F9525030">
      <w:start w:val="1"/>
      <w:numFmt w:val="bullet"/>
      <w:lvlText w:val="▪"/>
      <w:lvlJc w:val="left"/>
      <w:pPr>
        <w:ind w:left="633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0" w15:restartNumberingAfterBreak="0">
    <w:nsid w:val="42416CE7"/>
    <w:multiLevelType w:val="hybridMultilevel"/>
    <w:tmpl w:val="0526D8E6"/>
    <w:lvl w:ilvl="0" w:tplc="8C7A9AAC">
      <w:numFmt w:val="bullet"/>
      <w:lvlText w:val="-"/>
      <w:lvlJc w:val="left"/>
      <w:pPr>
        <w:ind w:left="7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1" w15:restartNumberingAfterBreak="0">
    <w:nsid w:val="4B885E42"/>
    <w:multiLevelType w:val="hybridMultilevel"/>
    <w:tmpl w:val="06D43A18"/>
    <w:lvl w:ilvl="0" w:tplc="0052A5C6">
      <w:start w:val="1"/>
      <w:numFmt w:val="low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2" w15:restartNumberingAfterBreak="0">
    <w:nsid w:val="4C42546B"/>
    <w:multiLevelType w:val="hybridMultilevel"/>
    <w:tmpl w:val="B26EAE4A"/>
    <w:lvl w:ilvl="0" w:tplc="0052A5C6">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12C48DD"/>
    <w:multiLevelType w:val="hybridMultilevel"/>
    <w:tmpl w:val="E85A6AFE"/>
    <w:lvl w:ilvl="0" w:tplc="041B001B">
      <w:start w:val="1"/>
      <w:numFmt w:val="lowerRoman"/>
      <w:lvlText w:val="%1."/>
      <w:lvlJc w:val="righ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4" w15:restartNumberingAfterBreak="0">
    <w:nsid w:val="546E5775"/>
    <w:multiLevelType w:val="hybridMultilevel"/>
    <w:tmpl w:val="44388DD8"/>
    <w:lvl w:ilvl="0" w:tplc="8C7A9AAC">
      <w:numFmt w:val="bullet"/>
      <w:lvlText w:val="-"/>
      <w:lvlJc w:val="left"/>
      <w:pPr>
        <w:ind w:left="7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8C7A9AAC">
      <w:numFmt w:val="bullet"/>
      <w:lvlText w:val="-"/>
      <w:lvlJc w:val="left"/>
      <w:pPr>
        <w:ind w:left="360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5" w:tplc="8C7A9AAC">
      <w:numFmt w:val="bullet"/>
      <w:lvlText w:val="-"/>
      <w:lvlJc w:val="left"/>
      <w:pPr>
        <w:ind w:left="43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6" w:tplc="8C7A9AAC">
      <w:numFmt w:val="bullet"/>
      <w:lvlText w:val="-"/>
      <w:lvlJc w:val="left"/>
      <w:pPr>
        <w:ind w:left="504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5" w15:restartNumberingAfterBreak="0">
    <w:nsid w:val="54CA0F0C"/>
    <w:multiLevelType w:val="hybridMultilevel"/>
    <w:tmpl w:val="07CECEF8"/>
    <w:lvl w:ilvl="0" w:tplc="0052A5C6">
      <w:start w:val="1"/>
      <w:numFmt w:val="lowerRoman"/>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6BE7397"/>
    <w:multiLevelType w:val="hybridMultilevel"/>
    <w:tmpl w:val="25A6B24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B">
      <w:start w:val="1"/>
      <w:numFmt w:val="lowerRoman"/>
      <w:lvlText w:val="%4."/>
      <w:lvlJc w:val="righ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F476653"/>
    <w:multiLevelType w:val="hybridMultilevel"/>
    <w:tmpl w:val="ABC88278"/>
    <w:lvl w:ilvl="0" w:tplc="8C7A9AAC">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8" w15:restartNumberingAfterBreak="0">
    <w:nsid w:val="5FFF102E"/>
    <w:multiLevelType w:val="hybridMultilevel"/>
    <w:tmpl w:val="E73A390E"/>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9" w15:restartNumberingAfterBreak="0">
    <w:nsid w:val="62536437"/>
    <w:multiLevelType w:val="hybridMultilevel"/>
    <w:tmpl w:val="B2585E08"/>
    <w:styleLink w:val="ImportedStyle11"/>
    <w:lvl w:ilvl="0" w:tplc="B45CDB9A">
      <w:start w:val="1"/>
      <w:numFmt w:val="bullet"/>
      <w:lvlText w:val="•"/>
      <w:lvlJc w:val="left"/>
      <w:pPr>
        <w:ind w:left="549" w:hanging="40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D4064A">
      <w:start w:val="1"/>
      <w:numFmt w:val="bullet"/>
      <w:lvlText w:val="o"/>
      <w:lvlJc w:val="left"/>
      <w:pPr>
        <w:ind w:left="1269" w:hanging="4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BB3C6C1C">
      <w:start w:val="1"/>
      <w:numFmt w:val="bullet"/>
      <w:lvlText w:val="▪"/>
      <w:lvlJc w:val="left"/>
      <w:pPr>
        <w:ind w:left="1989" w:hanging="4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16678C0">
      <w:start w:val="1"/>
      <w:numFmt w:val="bullet"/>
      <w:lvlText w:val="•"/>
      <w:lvlJc w:val="left"/>
      <w:pPr>
        <w:ind w:left="2709" w:hanging="40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EBA0D67E">
      <w:start w:val="1"/>
      <w:numFmt w:val="bullet"/>
      <w:lvlText w:val="o"/>
      <w:lvlJc w:val="left"/>
      <w:pPr>
        <w:ind w:left="3429" w:hanging="4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EEEF1F4">
      <w:start w:val="1"/>
      <w:numFmt w:val="bullet"/>
      <w:lvlText w:val="▪"/>
      <w:lvlJc w:val="left"/>
      <w:pPr>
        <w:ind w:left="4149" w:hanging="4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E206BB50">
      <w:start w:val="1"/>
      <w:numFmt w:val="bullet"/>
      <w:lvlText w:val="•"/>
      <w:lvlJc w:val="left"/>
      <w:pPr>
        <w:ind w:left="4869" w:hanging="40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8AC0054">
      <w:start w:val="1"/>
      <w:numFmt w:val="bullet"/>
      <w:lvlText w:val="o"/>
      <w:lvlJc w:val="left"/>
      <w:pPr>
        <w:ind w:left="5589" w:hanging="4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FF540236">
      <w:start w:val="1"/>
      <w:numFmt w:val="bullet"/>
      <w:lvlText w:val="▪"/>
      <w:lvlJc w:val="left"/>
      <w:pPr>
        <w:ind w:left="6309" w:hanging="4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0" w15:restartNumberingAfterBreak="0">
    <w:nsid w:val="63FC7F80"/>
    <w:multiLevelType w:val="hybridMultilevel"/>
    <w:tmpl w:val="6464BE40"/>
    <w:styleLink w:val="ImportedStyle14"/>
    <w:lvl w:ilvl="0" w:tplc="3058123E">
      <w:start w:val="1"/>
      <w:numFmt w:val="bullet"/>
      <w:lvlText w:val="•"/>
      <w:lvlJc w:val="left"/>
      <w:pPr>
        <w:ind w:left="572"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4CC0D21A">
      <w:start w:val="1"/>
      <w:numFmt w:val="bullet"/>
      <w:lvlText w:val="o"/>
      <w:lvlJc w:val="left"/>
      <w:pPr>
        <w:ind w:left="129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D583F7C">
      <w:start w:val="1"/>
      <w:numFmt w:val="bullet"/>
      <w:lvlText w:val="▪"/>
      <w:lvlJc w:val="left"/>
      <w:pPr>
        <w:ind w:left="201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4229F2C">
      <w:start w:val="1"/>
      <w:numFmt w:val="bullet"/>
      <w:lvlText w:val="•"/>
      <w:lvlJc w:val="left"/>
      <w:pPr>
        <w:ind w:left="2732"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212B970">
      <w:start w:val="1"/>
      <w:numFmt w:val="bullet"/>
      <w:lvlText w:val="o"/>
      <w:lvlJc w:val="left"/>
      <w:pPr>
        <w:ind w:left="345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775A31F8">
      <w:start w:val="1"/>
      <w:numFmt w:val="bullet"/>
      <w:lvlText w:val="▪"/>
      <w:lvlJc w:val="left"/>
      <w:pPr>
        <w:ind w:left="417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5A9436FE">
      <w:start w:val="1"/>
      <w:numFmt w:val="bullet"/>
      <w:lvlText w:val="•"/>
      <w:lvlJc w:val="left"/>
      <w:pPr>
        <w:ind w:left="4892" w:hanging="35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F6642B2">
      <w:start w:val="1"/>
      <w:numFmt w:val="bullet"/>
      <w:lvlText w:val="o"/>
      <w:lvlJc w:val="left"/>
      <w:pPr>
        <w:ind w:left="561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2BA10BC">
      <w:start w:val="1"/>
      <w:numFmt w:val="bullet"/>
      <w:lvlText w:val="▪"/>
      <w:lvlJc w:val="left"/>
      <w:pPr>
        <w:ind w:left="6332"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1" w15:restartNumberingAfterBreak="0">
    <w:nsid w:val="662736E4"/>
    <w:multiLevelType w:val="hybridMultilevel"/>
    <w:tmpl w:val="FEF21BBE"/>
    <w:styleLink w:val="ImportedStyle13"/>
    <w:lvl w:ilvl="0" w:tplc="B728095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7B499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E9A2C7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9F46E3B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E3DACE7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60B2F99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91443A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1BA37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7DC6A1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2" w15:restartNumberingAfterBreak="0">
    <w:nsid w:val="66C97ACF"/>
    <w:multiLevelType w:val="hybridMultilevel"/>
    <w:tmpl w:val="31448E8A"/>
    <w:lvl w:ilvl="0" w:tplc="041B000B">
      <w:start w:val="1"/>
      <w:numFmt w:val="bullet"/>
      <w:lvlText w:val=""/>
      <w:lvlJc w:val="left"/>
      <w:pPr>
        <w:ind w:left="720" w:hanging="360"/>
      </w:pPr>
      <w:rPr>
        <w:rFonts w:ascii="Wingdings" w:hAnsi="Wingding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B">
      <w:start w:val="1"/>
      <w:numFmt w:val="bullet"/>
      <w:lvlText w:val=""/>
      <w:lvlJc w:val="left"/>
      <w:pPr>
        <w:ind w:left="3600" w:hanging="360"/>
      </w:pPr>
      <w:rPr>
        <w:rFonts w:ascii="Wingdings" w:hAnsi="Wingdings" w:hint="default"/>
        <w:b w:val="0"/>
        <w:bCs w:val="0"/>
        <w:i w:val="0"/>
        <w:iCs w:val="0"/>
        <w:caps w:val="0"/>
        <w:smallCaps w:val="0"/>
        <w:strike w:val="0"/>
        <w:dstrike w:val="0"/>
        <w:color w:val="000000"/>
        <w:spacing w:val="0"/>
        <w:w w:val="100"/>
        <w:kern w:val="0"/>
        <w:position w:val="0"/>
        <w:highlight w:val="none"/>
        <w:u w:val="none"/>
        <w:effect w:val="none"/>
        <w:vertAlign w:val="baseline"/>
      </w:rPr>
    </w:lvl>
    <w:lvl w:ilvl="5" w:tplc="8C7A9AAC">
      <w:numFmt w:val="bullet"/>
      <w:lvlText w:val="-"/>
      <w:lvlJc w:val="left"/>
      <w:pPr>
        <w:ind w:left="43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6" w:tplc="8C7A9AAC">
      <w:numFmt w:val="bullet"/>
      <w:lvlText w:val="-"/>
      <w:lvlJc w:val="left"/>
      <w:pPr>
        <w:ind w:left="504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3" w15:restartNumberingAfterBreak="0">
    <w:nsid w:val="66DD08CB"/>
    <w:multiLevelType w:val="hybridMultilevel"/>
    <w:tmpl w:val="0A9676D0"/>
    <w:lvl w:ilvl="0" w:tplc="8C7A9AAC">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4" w15:restartNumberingAfterBreak="0">
    <w:nsid w:val="67422290"/>
    <w:multiLevelType w:val="hybridMultilevel"/>
    <w:tmpl w:val="36F01F24"/>
    <w:styleLink w:val="ImportedStyle7"/>
    <w:lvl w:ilvl="0" w:tplc="03A4E38C">
      <w:start w:val="1"/>
      <w:numFmt w:val="bullet"/>
      <w:lvlText w:val="•"/>
      <w:lvlJc w:val="left"/>
      <w:pPr>
        <w:ind w:left="79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D0EEDEA">
      <w:start w:val="1"/>
      <w:numFmt w:val="bullet"/>
      <w:lvlText w:val="o"/>
      <w:lvlJc w:val="left"/>
      <w:pPr>
        <w:ind w:left="151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BF6050FE">
      <w:start w:val="1"/>
      <w:numFmt w:val="bullet"/>
      <w:lvlText w:val="▪"/>
      <w:lvlJc w:val="left"/>
      <w:pPr>
        <w:ind w:left="223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9C783DF8">
      <w:start w:val="1"/>
      <w:numFmt w:val="bullet"/>
      <w:lvlText w:val="•"/>
      <w:lvlJc w:val="left"/>
      <w:pPr>
        <w:ind w:left="295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1765BD0">
      <w:start w:val="1"/>
      <w:numFmt w:val="bullet"/>
      <w:lvlText w:val="o"/>
      <w:lvlJc w:val="left"/>
      <w:pPr>
        <w:ind w:left="367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8066AE4">
      <w:start w:val="1"/>
      <w:numFmt w:val="bullet"/>
      <w:lvlText w:val="▪"/>
      <w:lvlJc w:val="left"/>
      <w:pPr>
        <w:ind w:left="439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8D6BD48">
      <w:start w:val="1"/>
      <w:numFmt w:val="bullet"/>
      <w:lvlText w:val="•"/>
      <w:lvlJc w:val="left"/>
      <w:pPr>
        <w:ind w:left="511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1D0C3FE">
      <w:start w:val="1"/>
      <w:numFmt w:val="bullet"/>
      <w:lvlText w:val="o"/>
      <w:lvlJc w:val="left"/>
      <w:pPr>
        <w:ind w:left="583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3BAF410">
      <w:start w:val="1"/>
      <w:numFmt w:val="bullet"/>
      <w:lvlText w:val="▪"/>
      <w:lvlJc w:val="left"/>
      <w:pPr>
        <w:ind w:left="655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5" w15:restartNumberingAfterBreak="0">
    <w:nsid w:val="6789407A"/>
    <w:multiLevelType w:val="hybridMultilevel"/>
    <w:tmpl w:val="B91E29E0"/>
    <w:styleLink w:val="ImportedStyle1"/>
    <w:lvl w:ilvl="0" w:tplc="E46E153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567091D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F22695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42410A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12BAD10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37A13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F4ECE5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554C5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F69C54A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68067A49"/>
    <w:multiLevelType w:val="hybridMultilevel"/>
    <w:tmpl w:val="46441C74"/>
    <w:lvl w:ilvl="0" w:tplc="8C7A9AAC">
      <w:numFmt w:val="bullet"/>
      <w:lvlText w:val="-"/>
      <w:lvlJc w:val="left"/>
      <w:pPr>
        <w:ind w:left="1440" w:hanging="360"/>
      </w:pPr>
      <w:rPr>
        <w:rFonts w:ascii="Calibri" w:eastAsiaTheme="minorHAnsi" w:hAnsi="Calibri" w:cstheme="minorBidi" w:hint="default"/>
      </w:rPr>
    </w:lvl>
    <w:lvl w:ilvl="1" w:tplc="041B0003">
      <w:start w:val="1"/>
      <w:numFmt w:val="bullet"/>
      <w:lvlText w:val="o"/>
      <w:lvlJc w:val="left"/>
      <w:pPr>
        <w:ind w:left="2160" w:hanging="360"/>
      </w:pPr>
      <w:rPr>
        <w:rFonts w:ascii="Courier New" w:hAnsi="Courier New" w:cs="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cs="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cs="Courier New" w:hint="default"/>
      </w:rPr>
    </w:lvl>
    <w:lvl w:ilvl="8" w:tplc="041B0005">
      <w:start w:val="1"/>
      <w:numFmt w:val="bullet"/>
      <w:lvlText w:val=""/>
      <w:lvlJc w:val="left"/>
      <w:pPr>
        <w:ind w:left="7200" w:hanging="360"/>
      </w:pPr>
      <w:rPr>
        <w:rFonts w:ascii="Wingdings" w:hAnsi="Wingdings" w:hint="default"/>
      </w:rPr>
    </w:lvl>
  </w:abstractNum>
  <w:abstractNum w:abstractNumId="47" w15:restartNumberingAfterBreak="0">
    <w:nsid w:val="69E37BEE"/>
    <w:multiLevelType w:val="hybridMultilevel"/>
    <w:tmpl w:val="33FCA3B4"/>
    <w:lvl w:ilvl="0" w:tplc="0052A5C6">
      <w:start w:val="1"/>
      <w:numFmt w:val="lowerRoman"/>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8" w15:restartNumberingAfterBreak="0">
    <w:nsid w:val="6A4A5A3B"/>
    <w:multiLevelType w:val="hybridMultilevel"/>
    <w:tmpl w:val="A0E6222C"/>
    <w:lvl w:ilvl="0" w:tplc="8C7A9AAC">
      <w:numFmt w:val="bullet"/>
      <w:lvlText w:val="-"/>
      <w:lvlJc w:val="left"/>
      <w:pPr>
        <w:ind w:left="7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9" w15:restartNumberingAfterBreak="0">
    <w:nsid w:val="6DE41758"/>
    <w:multiLevelType w:val="hybridMultilevel"/>
    <w:tmpl w:val="77B4AD1E"/>
    <w:styleLink w:val="ImportedStyle12"/>
    <w:lvl w:ilvl="0" w:tplc="0316B15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29E2B4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1D0CDB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11AB47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4181E1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32E8E6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2C44C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662BD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A64E4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6E254A34"/>
    <w:multiLevelType w:val="hybridMultilevel"/>
    <w:tmpl w:val="CB4EF648"/>
    <w:styleLink w:val="ImportedStyle15"/>
    <w:lvl w:ilvl="0" w:tplc="C7A49C48">
      <w:start w:val="1"/>
      <w:numFmt w:val="bullet"/>
      <w:lvlText w:val="•"/>
      <w:lvlJc w:val="left"/>
      <w:pPr>
        <w:ind w:left="79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E5E4A6A">
      <w:start w:val="1"/>
      <w:numFmt w:val="bullet"/>
      <w:lvlText w:val="o"/>
      <w:lvlJc w:val="left"/>
      <w:pPr>
        <w:ind w:left="151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4FC4A10">
      <w:start w:val="1"/>
      <w:numFmt w:val="bullet"/>
      <w:lvlText w:val="▪"/>
      <w:lvlJc w:val="left"/>
      <w:pPr>
        <w:ind w:left="223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0D48132">
      <w:start w:val="1"/>
      <w:numFmt w:val="bullet"/>
      <w:lvlText w:val="•"/>
      <w:lvlJc w:val="left"/>
      <w:pPr>
        <w:ind w:left="295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ECAD68C">
      <w:start w:val="1"/>
      <w:numFmt w:val="bullet"/>
      <w:lvlText w:val="o"/>
      <w:lvlJc w:val="left"/>
      <w:pPr>
        <w:ind w:left="367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7AEE7B9A">
      <w:start w:val="1"/>
      <w:numFmt w:val="bullet"/>
      <w:lvlText w:val="▪"/>
      <w:lvlJc w:val="left"/>
      <w:pPr>
        <w:ind w:left="439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5BDA2E6E">
      <w:start w:val="1"/>
      <w:numFmt w:val="bullet"/>
      <w:lvlText w:val="•"/>
      <w:lvlJc w:val="left"/>
      <w:pPr>
        <w:ind w:left="5112" w:hanging="43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AF32C784">
      <w:start w:val="1"/>
      <w:numFmt w:val="bullet"/>
      <w:lvlText w:val="o"/>
      <w:lvlJc w:val="left"/>
      <w:pPr>
        <w:ind w:left="583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C8D05A32">
      <w:start w:val="1"/>
      <w:numFmt w:val="bullet"/>
      <w:lvlText w:val="▪"/>
      <w:lvlJc w:val="left"/>
      <w:pPr>
        <w:ind w:left="6552" w:hanging="43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7208761C"/>
    <w:multiLevelType w:val="hybridMultilevel"/>
    <w:tmpl w:val="CFA6A57E"/>
    <w:styleLink w:val="ImportedStyle3"/>
    <w:lvl w:ilvl="0" w:tplc="51C68222">
      <w:start w:val="1"/>
      <w:numFmt w:val="bullet"/>
      <w:lvlText w:val="•"/>
      <w:lvlJc w:val="left"/>
      <w:pPr>
        <w:ind w:left="7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7D008E4">
      <w:start w:val="1"/>
      <w:numFmt w:val="bullet"/>
      <w:lvlText w:val="o"/>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FEC7364">
      <w:start w:val="1"/>
      <w:numFmt w:val="bullet"/>
      <w:lvlText w:val="▪"/>
      <w:lvlJc w:val="left"/>
      <w:pPr>
        <w:ind w:left="21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3D245AE">
      <w:start w:val="1"/>
      <w:numFmt w:val="bullet"/>
      <w:lvlText w:val="•"/>
      <w:lvlJc w:val="left"/>
      <w:pPr>
        <w:ind w:left="70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AFC832E4">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24229C4">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3CC0C20">
      <w:start w:val="1"/>
      <w:numFmt w:val="bullet"/>
      <w:lvlText w:val="•"/>
      <w:lvlJc w:val="left"/>
      <w:pPr>
        <w:ind w:left="286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EEA1082">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AB485EFA">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2" w15:restartNumberingAfterBreak="0">
    <w:nsid w:val="77DF6BA6"/>
    <w:multiLevelType w:val="hybridMultilevel"/>
    <w:tmpl w:val="FDEC0632"/>
    <w:lvl w:ilvl="0" w:tplc="0052A5C6">
      <w:start w:val="1"/>
      <w:numFmt w:val="lowerRoman"/>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3" w15:restartNumberingAfterBreak="0">
    <w:nsid w:val="7ABE14EE"/>
    <w:multiLevelType w:val="hybridMultilevel"/>
    <w:tmpl w:val="4E00CD18"/>
    <w:lvl w:ilvl="0" w:tplc="041B000B">
      <w:start w:val="1"/>
      <w:numFmt w:val="bullet"/>
      <w:lvlText w:val=""/>
      <w:lvlJc w:val="left"/>
      <w:pPr>
        <w:ind w:left="720" w:hanging="360"/>
      </w:pPr>
      <w:rPr>
        <w:rFonts w:ascii="Wingdings" w:hAnsi="Wingding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8C7A9AAC">
      <w:numFmt w:val="bullet"/>
      <w:lvlText w:val="-"/>
      <w:lvlJc w:val="left"/>
      <w:pPr>
        <w:ind w:left="360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5" w:tplc="041B000B">
      <w:start w:val="1"/>
      <w:numFmt w:val="bullet"/>
      <w:lvlText w:val=""/>
      <w:lvlJc w:val="left"/>
      <w:pPr>
        <w:ind w:left="4320" w:hanging="360"/>
      </w:pPr>
      <w:rPr>
        <w:rFonts w:ascii="Wingdings" w:hAnsi="Wingdings" w:hint="default"/>
        <w:b w:val="0"/>
        <w:bCs w:val="0"/>
        <w:i w:val="0"/>
        <w:iCs w:val="0"/>
        <w:caps w:val="0"/>
        <w:smallCaps w:val="0"/>
        <w:strike w:val="0"/>
        <w:dstrike w:val="0"/>
        <w:color w:val="000000"/>
        <w:spacing w:val="0"/>
        <w:w w:val="100"/>
        <w:kern w:val="0"/>
        <w:position w:val="0"/>
        <w:highlight w:val="none"/>
        <w:u w:val="none"/>
        <w:effect w:val="none"/>
        <w:vertAlign w:val="baseline"/>
      </w:rPr>
    </w:lvl>
    <w:lvl w:ilvl="6" w:tplc="8C7A9AAC">
      <w:numFmt w:val="bullet"/>
      <w:lvlText w:val="-"/>
      <w:lvlJc w:val="left"/>
      <w:pPr>
        <w:ind w:left="504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4" w15:restartNumberingAfterBreak="0">
    <w:nsid w:val="7C952CD5"/>
    <w:multiLevelType w:val="hybridMultilevel"/>
    <w:tmpl w:val="42CABB9E"/>
    <w:lvl w:ilvl="0" w:tplc="8C7A9AAC">
      <w:numFmt w:val="bullet"/>
      <w:lvlText w:val="-"/>
      <w:lvlJc w:val="left"/>
      <w:pPr>
        <w:ind w:left="720" w:hanging="360"/>
      </w:pPr>
      <w:rPr>
        <w:rFonts w:ascii="Calibri" w:eastAsiaTheme="minorHAnsi" w:hAnsi="Calibri" w:cstheme="minorBidi"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5" w15:restartNumberingAfterBreak="0">
    <w:nsid w:val="7DCB3A4C"/>
    <w:multiLevelType w:val="hybridMultilevel"/>
    <w:tmpl w:val="89C829E8"/>
    <w:lvl w:ilvl="0" w:tplc="041B001B">
      <w:start w:val="1"/>
      <w:numFmt w:val="lowerRoman"/>
      <w:lvlText w:val="%1."/>
      <w:lvlJc w:val="right"/>
      <w:pPr>
        <w:ind w:left="720" w:hanging="360"/>
      </w:pPr>
      <w:rPr>
        <w:rFonts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40988D2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FEE42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A38ADD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5366B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37A05C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68A9EB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ACF008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CF8EC6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53"/>
  </w:num>
  <w:num w:numId="4">
    <w:abstractNumId w:val="42"/>
  </w:num>
  <w:num w:numId="5">
    <w:abstractNumId w:val="54"/>
  </w:num>
  <w:num w:numId="6">
    <w:abstractNumId w:val="34"/>
  </w:num>
  <w:num w:numId="7">
    <w:abstractNumId w:val="46"/>
  </w:num>
  <w:num w:numId="8">
    <w:abstractNumId w:val="43"/>
  </w:num>
  <w:num w:numId="9">
    <w:abstractNumId w:val="48"/>
  </w:num>
  <w:num w:numId="10">
    <w:abstractNumId w:val="16"/>
  </w:num>
  <w:num w:numId="11">
    <w:abstractNumId w:val="37"/>
  </w:num>
  <w:num w:numId="12">
    <w:abstractNumId w:val="3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8"/>
  </w:num>
  <w:num w:numId="16">
    <w:abstractNumId w:val="0"/>
  </w:num>
  <w:num w:numId="17">
    <w:abstractNumId w:val="5"/>
  </w:num>
  <w:num w:numId="18">
    <w:abstractNumId w:val="12"/>
  </w:num>
  <w:num w:numId="19">
    <w:abstractNumId w:val="14"/>
  </w:num>
  <w:num w:numId="20">
    <w:abstractNumId w:val="15"/>
  </w:num>
  <w:num w:numId="21">
    <w:abstractNumId w:val="17"/>
  </w:num>
  <w:num w:numId="22">
    <w:abstractNumId w:val="21"/>
  </w:num>
  <w:num w:numId="23">
    <w:abstractNumId w:val="27"/>
  </w:num>
  <w:num w:numId="24">
    <w:abstractNumId w:val="39"/>
  </w:num>
  <w:num w:numId="25">
    <w:abstractNumId w:val="40"/>
  </w:num>
  <w:num w:numId="26">
    <w:abstractNumId w:val="41"/>
  </w:num>
  <w:num w:numId="27">
    <w:abstractNumId w:val="44"/>
  </w:num>
  <w:num w:numId="28">
    <w:abstractNumId w:val="45"/>
  </w:num>
  <w:num w:numId="29">
    <w:abstractNumId w:val="49"/>
  </w:num>
  <w:num w:numId="30">
    <w:abstractNumId w:val="50"/>
  </w:num>
  <w:num w:numId="31">
    <w:abstractNumId w:val="51"/>
  </w:num>
  <w:num w:numId="32">
    <w:abstractNumId w:val="23"/>
  </w:num>
  <w:num w:numId="33">
    <w:abstractNumId w:val="2"/>
  </w:num>
  <w:num w:numId="34">
    <w:abstractNumId w:val="36"/>
  </w:num>
  <w:num w:numId="35">
    <w:abstractNumId w:val="55"/>
  </w:num>
  <w:num w:numId="36">
    <w:abstractNumId w:val="1"/>
  </w:num>
  <w:num w:numId="37">
    <w:abstractNumId w:val="31"/>
  </w:num>
  <w:num w:numId="38">
    <w:abstractNumId w:val="7"/>
  </w:num>
  <w:num w:numId="39">
    <w:abstractNumId w:val="13"/>
  </w:num>
  <w:num w:numId="40">
    <w:abstractNumId w:val="9"/>
  </w:num>
  <w:num w:numId="41">
    <w:abstractNumId w:val="38"/>
  </w:num>
  <w:num w:numId="42">
    <w:abstractNumId w:val="11"/>
  </w:num>
  <w:num w:numId="43">
    <w:abstractNumId w:val="28"/>
  </w:num>
  <w:num w:numId="44">
    <w:abstractNumId w:val="6"/>
  </w:num>
  <w:num w:numId="45">
    <w:abstractNumId w:val="26"/>
  </w:num>
  <w:num w:numId="46">
    <w:abstractNumId w:val="32"/>
  </w:num>
  <w:num w:numId="47">
    <w:abstractNumId w:val="47"/>
  </w:num>
  <w:num w:numId="48">
    <w:abstractNumId w:val="4"/>
  </w:num>
  <w:num w:numId="49">
    <w:abstractNumId w:val="35"/>
  </w:num>
  <w:num w:numId="50">
    <w:abstractNumId w:val="52"/>
  </w:num>
  <w:num w:numId="51">
    <w:abstractNumId w:val="29"/>
  </w:num>
  <w:num w:numId="52">
    <w:abstractNumId w:val="25"/>
  </w:num>
  <w:num w:numId="53">
    <w:abstractNumId w:val="19"/>
  </w:num>
  <w:num w:numId="54">
    <w:abstractNumId w:val="24"/>
  </w:num>
  <w:num w:numId="55">
    <w:abstractNumId w:val="8"/>
  </w:num>
  <w:num w:numId="56">
    <w:abstractNumId w:val="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332909"/>
    <w:rsid w:val="00003C58"/>
    <w:rsid w:val="00024A1D"/>
    <w:rsid w:val="00031D76"/>
    <w:rsid w:val="000A7067"/>
    <w:rsid w:val="000D79DA"/>
    <w:rsid w:val="000E3F35"/>
    <w:rsid w:val="00100ED9"/>
    <w:rsid w:val="00151A5A"/>
    <w:rsid w:val="00183AFE"/>
    <w:rsid w:val="00193384"/>
    <w:rsid w:val="001A2B87"/>
    <w:rsid w:val="001A55FA"/>
    <w:rsid w:val="001B1248"/>
    <w:rsid w:val="001F59B4"/>
    <w:rsid w:val="00232546"/>
    <w:rsid w:val="0023394C"/>
    <w:rsid w:val="00234EE6"/>
    <w:rsid w:val="00235E14"/>
    <w:rsid w:val="00276669"/>
    <w:rsid w:val="00281675"/>
    <w:rsid w:val="002E62CF"/>
    <w:rsid w:val="002F5F71"/>
    <w:rsid w:val="0031361F"/>
    <w:rsid w:val="0032346A"/>
    <w:rsid w:val="0033053E"/>
    <w:rsid w:val="00332909"/>
    <w:rsid w:val="00363095"/>
    <w:rsid w:val="0037585B"/>
    <w:rsid w:val="003D54B7"/>
    <w:rsid w:val="003E2A77"/>
    <w:rsid w:val="003E3E60"/>
    <w:rsid w:val="003E4C85"/>
    <w:rsid w:val="0041767C"/>
    <w:rsid w:val="00451BC6"/>
    <w:rsid w:val="0045212D"/>
    <w:rsid w:val="00457D06"/>
    <w:rsid w:val="004736C4"/>
    <w:rsid w:val="004755AB"/>
    <w:rsid w:val="004817DD"/>
    <w:rsid w:val="0048593C"/>
    <w:rsid w:val="00490368"/>
    <w:rsid w:val="004C57BF"/>
    <w:rsid w:val="004D2CA9"/>
    <w:rsid w:val="00516201"/>
    <w:rsid w:val="00553AB0"/>
    <w:rsid w:val="00575EFB"/>
    <w:rsid w:val="005922EB"/>
    <w:rsid w:val="005B69D4"/>
    <w:rsid w:val="005E5C88"/>
    <w:rsid w:val="005F49C1"/>
    <w:rsid w:val="005F7213"/>
    <w:rsid w:val="006024B1"/>
    <w:rsid w:val="00602574"/>
    <w:rsid w:val="00603CAD"/>
    <w:rsid w:val="00653E31"/>
    <w:rsid w:val="00662D6E"/>
    <w:rsid w:val="00673FB6"/>
    <w:rsid w:val="0068677B"/>
    <w:rsid w:val="006C5E6A"/>
    <w:rsid w:val="006D2E6D"/>
    <w:rsid w:val="006E07E7"/>
    <w:rsid w:val="0074064E"/>
    <w:rsid w:val="00744669"/>
    <w:rsid w:val="0076029A"/>
    <w:rsid w:val="00771913"/>
    <w:rsid w:val="007D65E9"/>
    <w:rsid w:val="00825941"/>
    <w:rsid w:val="008F2717"/>
    <w:rsid w:val="0091634A"/>
    <w:rsid w:val="00921597"/>
    <w:rsid w:val="009366D3"/>
    <w:rsid w:val="00943F0A"/>
    <w:rsid w:val="00976306"/>
    <w:rsid w:val="009C2EAE"/>
    <w:rsid w:val="009F01E8"/>
    <w:rsid w:val="009F2E04"/>
    <w:rsid w:val="00A319CA"/>
    <w:rsid w:val="00A35FCD"/>
    <w:rsid w:val="00A41D18"/>
    <w:rsid w:val="00A4211C"/>
    <w:rsid w:val="00A90CA7"/>
    <w:rsid w:val="00A9359B"/>
    <w:rsid w:val="00AB15B6"/>
    <w:rsid w:val="00AF7BC1"/>
    <w:rsid w:val="00B43ADC"/>
    <w:rsid w:val="00B47D21"/>
    <w:rsid w:val="00B55BF9"/>
    <w:rsid w:val="00B723B1"/>
    <w:rsid w:val="00BC6851"/>
    <w:rsid w:val="00C90BE5"/>
    <w:rsid w:val="00CA7EBD"/>
    <w:rsid w:val="00CD1152"/>
    <w:rsid w:val="00CD52C8"/>
    <w:rsid w:val="00D232DC"/>
    <w:rsid w:val="00D64D31"/>
    <w:rsid w:val="00D83386"/>
    <w:rsid w:val="00DB5883"/>
    <w:rsid w:val="00DB6264"/>
    <w:rsid w:val="00E2177C"/>
    <w:rsid w:val="00E22D59"/>
    <w:rsid w:val="00E838C0"/>
    <w:rsid w:val="00EE2AEE"/>
    <w:rsid w:val="00F16657"/>
    <w:rsid w:val="00F24989"/>
    <w:rsid w:val="00F2768C"/>
    <w:rsid w:val="00F97950"/>
    <w:rsid w:val="00FA5972"/>
    <w:rsid w:val="00FF6FA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A71151F6-54F2-449C-8CA8-FEF420956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2909"/>
    <w:pPr>
      <w:spacing w:after="120"/>
      <w:jc w:val="both"/>
    </w:pPr>
    <w:rPr>
      <w:rFonts w:ascii="Times New Roman" w:hAnsi="Times New Roman"/>
    </w:rPr>
  </w:style>
  <w:style w:type="paragraph" w:styleId="Nadpis1">
    <w:name w:val="heading 1"/>
    <w:basedOn w:val="Normlny"/>
    <w:next w:val="Normlny"/>
    <w:link w:val="Nadpis1Char"/>
    <w:qFormat/>
    <w:rsid w:val="00332909"/>
    <w:pPr>
      <w:keepNext/>
      <w:keepLines/>
      <w:spacing w:before="360" w:after="240"/>
      <w:outlineLvl w:val="0"/>
    </w:pPr>
    <w:rPr>
      <w:rFonts w:eastAsiaTheme="majorEastAsia" w:cstheme="majorBidi"/>
      <w:b/>
      <w:color w:val="000000" w:themeColor="text1"/>
      <w:sz w:val="28"/>
      <w:szCs w:val="32"/>
    </w:rPr>
  </w:style>
  <w:style w:type="paragraph" w:styleId="Nadpis2">
    <w:name w:val="heading 2"/>
    <w:next w:val="Normlny"/>
    <w:link w:val="Nadpis2Char"/>
    <w:unhideWhenUsed/>
    <w:qFormat/>
    <w:rsid w:val="00332909"/>
    <w:pPr>
      <w:keepNext/>
      <w:keepLines/>
      <w:spacing w:before="360" w:after="240" w:line="240" w:lineRule="auto"/>
      <w:outlineLvl w:val="1"/>
    </w:pPr>
    <w:rPr>
      <w:rFonts w:ascii="Times New Roman" w:eastAsia="Calibri" w:hAnsi="Times New Roman" w:cs="Calibri"/>
      <w:b/>
      <w:bCs/>
      <w:sz w:val="24"/>
      <w:szCs w:val="26"/>
      <w:u w:color="5B9BD5"/>
      <w:lang w:eastAsia="sk-SK"/>
    </w:rPr>
  </w:style>
  <w:style w:type="paragraph" w:styleId="Nadpis3">
    <w:name w:val="heading 3"/>
    <w:basedOn w:val="Normlny"/>
    <w:next w:val="Normlny"/>
    <w:link w:val="Nadpis3Char"/>
    <w:semiHidden/>
    <w:unhideWhenUsed/>
    <w:qFormat/>
    <w:rsid w:val="00332909"/>
    <w:pPr>
      <w:keepNext/>
      <w:keepLines/>
      <w:spacing w:before="360"/>
      <w:outlineLvl w:val="2"/>
    </w:pPr>
    <w:rPr>
      <w:rFonts w:eastAsiaTheme="majorEastAsia" w:cstheme="majorBidi"/>
      <w:b/>
      <w:bCs/>
    </w:rPr>
  </w:style>
  <w:style w:type="paragraph" w:styleId="Nadpis4">
    <w:name w:val="heading 4"/>
    <w:basedOn w:val="Normlny"/>
    <w:next w:val="Normlny"/>
    <w:link w:val="Nadpis4Char"/>
    <w:uiPriority w:val="9"/>
    <w:semiHidden/>
    <w:unhideWhenUsed/>
    <w:qFormat/>
    <w:rsid w:val="0033290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32909"/>
    <w:rPr>
      <w:rFonts w:ascii="Times New Roman" w:eastAsiaTheme="majorEastAsia" w:hAnsi="Times New Roman" w:cstheme="majorBidi"/>
      <w:b/>
      <w:color w:val="000000" w:themeColor="text1"/>
      <w:sz w:val="28"/>
      <w:szCs w:val="32"/>
    </w:rPr>
  </w:style>
  <w:style w:type="character" w:customStyle="1" w:styleId="Nadpis2Char">
    <w:name w:val="Nadpis 2 Char"/>
    <w:basedOn w:val="Predvolenpsmoodseku"/>
    <w:link w:val="Nadpis2"/>
    <w:rsid w:val="00332909"/>
    <w:rPr>
      <w:rFonts w:ascii="Times New Roman" w:eastAsia="Calibri" w:hAnsi="Times New Roman" w:cs="Calibri"/>
      <w:b/>
      <w:bCs/>
      <w:sz w:val="24"/>
      <w:szCs w:val="26"/>
      <w:u w:color="5B9BD5"/>
      <w:lang w:eastAsia="sk-SK"/>
    </w:rPr>
  </w:style>
  <w:style w:type="character" w:customStyle="1" w:styleId="Nadpis3Char">
    <w:name w:val="Nadpis 3 Char"/>
    <w:basedOn w:val="Predvolenpsmoodseku"/>
    <w:link w:val="Nadpis3"/>
    <w:semiHidden/>
    <w:rsid w:val="00332909"/>
    <w:rPr>
      <w:rFonts w:ascii="Times New Roman" w:eastAsiaTheme="majorEastAsia" w:hAnsi="Times New Roman" w:cstheme="majorBidi"/>
      <w:b/>
      <w:bCs/>
    </w:rPr>
  </w:style>
  <w:style w:type="character" w:customStyle="1" w:styleId="Nadpis4Char">
    <w:name w:val="Nadpis 4 Char"/>
    <w:basedOn w:val="Predvolenpsmoodseku"/>
    <w:link w:val="Nadpis4"/>
    <w:uiPriority w:val="9"/>
    <w:semiHidden/>
    <w:rsid w:val="00332909"/>
    <w:rPr>
      <w:rFonts w:asciiTheme="majorHAnsi" w:eastAsiaTheme="majorEastAsia" w:hAnsiTheme="majorHAnsi" w:cstheme="majorBidi"/>
      <w:i/>
      <w:iCs/>
      <w:color w:val="365F91" w:themeColor="accent1" w:themeShade="BF"/>
    </w:rPr>
  </w:style>
  <w:style w:type="character" w:styleId="Hypertextovprepojenie">
    <w:name w:val="Hyperlink"/>
    <w:basedOn w:val="Predvolenpsmoodseku"/>
    <w:uiPriority w:val="99"/>
    <w:unhideWhenUsed/>
    <w:rsid w:val="00332909"/>
    <w:rPr>
      <w:color w:val="0000FF" w:themeColor="hyperlink"/>
      <w:u w:val="single"/>
    </w:rPr>
  </w:style>
  <w:style w:type="character" w:styleId="PouitHypertextovPrepojenie">
    <w:name w:val="FollowedHyperlink"/>
    <w:basedOn w:val="Predvolenpsmoodseku"/>
    <w:uiPriority w:val="99"/>
    <w:semiHidden/>
    <w:unhideWhenUsed/>
    <w:rsid w:val="00332909"/>
    <w:rPr>
      <w:color w:val="954F72"/>
      <w:u w:val="single"/>
    </w:rPr>
  </w:style>
  <w:style w:type="paragraph" w:styleId="Normlnywebov">
    <w:name w:val="Normal (Web)"/>
    <w:basedOn w:val="Normlny"/>
    <w:uiPriority w:val="99"/>
    <w:semiHidden/>
    <w:unhideWhenUsed/>
    <w:rsid w:val="00332909"/>
    <w:pPr>
      <w:spacing w:before="100" w:beforeAutospacing="1" w:after="100" w:afterAutospacing="1" w:line="240" w:lineRule="auto"/>
    </w:pPr>
    <w:rPr>
      <w:rFonts w:eastAsia="Times New Roman" w:cs="Times New Roman"/>
      <w:sz w:val="24"/>
      <w:szCs w:val="24"/>
      <w:lang w:eastAsia="sk-SK"/>
    </w:rPr>
  </w:style>
  <w:style w:type="paragraph" w:styleId="Obsah1">
    <w:name w:val="toc 1"/>
    <w:autoRedefine/>
    <w:uiPriority w:val="39"/>
    <w:unhideWhenUsed/>
    <w:rsid w:val="00332909"/>
    <w:pPr>
      <w:tabs>
        <w:tab w:val="right" w:leader="dot" w:pos="9046"/>
      </w:tabs>
      <w:spacing w:after="100" w:line="240" w:lineRule="auto"/>
    </w:pPr>
    <w:rPr>
      <w:rFonts w:ascii="Calibri" w:eastAsia="Calibri" w:hAnsi="Calibri" w:cs="Calibri"/>
      <w:color w:val="000000"/>
      <w:u w:color="000000"/>
      <w:lang w:eastAsia="sk-SK"/>
    </w:rPr>
  </w:style>
  <w:style w:type="paragraph" w:styleId="Obsah2">
    <w:name w:val="toc 2"/>
    <w:autoRedefine/>
    <w:uiPriority w:val="39"/>
    <w:unhideWhenUsed/>
    <w:rsid w:val="00332909"/>
    <w:pPr>
      <w:tabs>
        <w:tab w:val="right" w:leader="dot" w:pos="9046"/>
      </w:tabs>
      <w:spacing w:after="100" w:line="240" w:lineRule="auto"/>
      <w:ind w:left="220"/>
    </w:pPr>
    <w:rPr>
      <w:rFonts w:ascii="Calibri" w:eastAsia="Calibri" w:hAnsi="Calibri" w:cs="Calibri"/>
      <w:color w:val="000000"/>
      <w:u w:color="000000"/>
      <w:lang w:eastAsia="sk-SK"/>
    </w:rPr>
  </w:style>
  <w:style w:type="paragraph" w:styleId="Obsah3">
    <w:name w:val="toc 3"/>
    <w:autoRedefine/>
    <w:uiPriority w:val="39"/>
    <w:unhideWhenUsed/>
    <w:rsid w:val="00332909"/>
    <w:pPr>
      <w:tabs>
        <w:tab w:val="right" w:leader="dot" w:pos="9046"/>
      </w:tabs>
      <w:spacing w:after="100" w:line="240" w:lineRule="auto"/>
      <w:ind w:left="440"/>
    </w:pPr>
    <w:rPr>
      <w:rFonts w:ascii="Calibri" w:eastAsia="Calibri" w:hAnsi="Calibri" w:cs="Calibri"/>
      <w:color w:val="000000"/>
      <w:u w:color="000000"/>
      <w:lang w:eastAsia="sk-SK"/>
    </w:rPr>
  </w:style>
  <w:style w:type="paragraph" w:styleId="Textpoznmkypodiarou">
    <w:name w:val="footnote text"/>
    <w:basedOn w:val="Normlny"/>
    <w:link w:val="TextpoznmkypodiarouChar"/>
    <w:uiPriority w:val="99"/>
    <w:semiHidden/>
    <w:unhideWhenUsed/>
    <w:rsid w:val="00332909"/>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332909"/>
    <w:rPr>
      <w:rFonts w:ascii="Times New Roman" w:hAnsi="Times New Roman"/>
      <w:sz w:val="20"/>
      <w:szCs w:val="20"/>
    </w:rPr>
  </w:style>
  <w:style w:type="paragraph" w:styleId="Textkomentra">
    <w:name w:val="annotation text"/>
    <w:basedOn w:val="Normlny"/>
    <w:link w:val="TextkomentraChar"/>
    <w:uiPriority w:val="99"/>
    <w:semiHidden/>
    <w:unhideWhenUsed/>
    <w:rsid w:val="00332909"/>
    <w:pPr>
      <w:spacing w:line="240" w:lineRule="auto"/>
    </w:pPr>
    <w:rPr>
      <w:sz w:val="20"/>
      <w:szCs w:val="20"/>
    </w:rPr>
  </w:style>
  <w:style w:type="character" w:customStyle="1" w:styleId="TextkomentraChar">
    <w:name w:val="Text komentára Char"/>
    <w:basedOn w:val="Predvolenpsmoodseku"/>
    <w:link w:val="Textkomentra"/>
    <w:uiPriority w:val="99"/>
    <w:semiHidden/>
    <w:rsid w:val="00332909"/>
    <w:rPr>
      <w:rFonts w:ascii="Times New Roman" w:hAnsi="Times New Roman"/>
      <w:sz w:val="20"/>
      <w:szCs w:val="20"/>
    </w:rPr>
  </w:style>
  <w:style w:type="paragraph" w:styleId="Hlavika">
    <w:name w:val="header"/>
    <w:basedOn w:val="Normlny"/>
    <w:link w:val="HlavikaChar"/>
    <w:uiPriority w:val="99"/>
    <w:unhideWhenUsed/>
    <w:rsid w:val="0033290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2909"/>
    <w:rPr>
      <w:rFonts w:ascii="Times New Roman" w:hAnsi="Times New Roman"/>
    </w:rPr>
  </w:style>
  <w:style w:type="paragraph" w:styleId="Pta">
    <w:name w:val="footer"/>
    <w:basedOn w:val="Normlny"/>
    <w:link w:val="PtaChar"/>
    <w:uiPriority w:val="99"/>
    <w:unhideWhenUsed/>
    <w:rsid w:val="00332909"/>
    <w:pPr>
      <w:tabs>
        <w:tab w:val="center" w:pos="4536"/>
        <w:tab w:val="right" w:pos="9072"/>
      </w:tabs>
      <w:spacing w:after="0" w:line="240" w:lineRule="auto"/>
    </w:pPr>
  </w:style>
  <w:style w:type="character" w:customStyle="1" w:styleId="PtaChar">
    <w:name w:val="Päta Char"/>
    <w:basedOn w:val="Predvolenpsmoodseku"/>
    <w:link w:val="Pta"/>
    <w:uiPriority w:val="99"/>
    <w:rsid w:val="00332909"/>
    <w:rPr>
      <w:rFonts w:ascii="Times New Roman" w:hAnsi="Times New Roman"/>
    </w:rPr>
  </w:style>
  <w:style w:type="paragraph" w:styleId="Popis">
    <w:name w:val="caption"/>
    <w:basedOn w:val="Normlny"/>
    <w:next w:val="Normlny"/>
    <w:uiPriority w:val="99"/>
    <w:semiHidden/>
    <w:unhideWhenUsed/>
    <w:qFormat/>
    <w:rsid w:val="00332909"/>
    <w:pPr>
      <w:spacing w:after="200" w:line="240" w:lineRule="auto"/>
    </w:pPr>
    <w:rPr>
      <w:i/>
      <w:iCs/>
      <w:color w:val="1F497D" w:themeColor="text2"/>
      <w:sz w:val="18"/>
      <w:szCs w:val="18"/>
    </w:rPr>
  </w:style>
  <w:style w:type="paragraph" w:styleId="Zkladntext2">
    <w:name w:val="Body Text 2"/>
    <w:basedOn w:val="Normlny"/>
    <w:link w:val="Zkladntext2Char"/>
    <w:uiPriority w:val="99"/>
    <w:semiHidden/>
    <w:unhideWhenUsed/>
    <w:rsid w:val="00332909"/>
    <w:pPr>
      <w:spacing w:line="480" w:lineRule="auto"/>
      <w:jc w:val="left"/>
    </w:pPr>
    <w:rPr>
      <w:rFonts w:eastAsia="Times New Roman" w:cs="Times New Roman"/>
      <w:sz w:val="20"/>
      <w:szCs w:val="20"/>
      <w:lang w:eastAsia="sk-SK"/>
    </w:rPr>
  </w:style>
  <w:style w:type="character" w:customStyle="1" w:styleId="Zkladntext2Char">
    <w:name w:val="Základný text 2 Char"/>
    <w:basedOn w:val="Predvolenpsmoodseku"/>
    <w:link w:val="Zkladntext2"/>
    <w:uiPriority w:val="99"/>
    <w:semiHidden/>
    <w:rsid w:val="00332909"/>
    <w:rPr>
      <w:rFonts w:ascii="Times New Roman" w:eastAsia="Times New Roman" w:hAnsi="Times New Roman" w:cs="Times New Roman"/>
      <w:sz w:val="20"/>
      <w:szCs w:val="20"/>
      <w:lang w:eastAsia="sk-SK"/>
    </w:rPr>
  </w:style>
  <w:style w:type="paragraph" w:styleId="Obyajntext">
    <w:name w:val="Plain Text"/>
    <w:link w:val="ObyajntextChar"/>
    <w:uiPriority w:val="99"/>
    <w:semiHidden/>
    <w:unhideWhenUsed/>
    <w:rsid w:val="00332909"/>
    <w:pPr>
      <w:spacing w:after="0" w:line="240" w:lineRule="auto"/>
    </w:pPr>
    <w:rPr>
      <w:rFonts w:ascii="Calibri" w:eastAsia="Arial Unicode MS" w:hAnsi="Calibri" w:cs="Arial Unicode MS"/>
      <w:color w:val="000000"/>
      <w:u w:color="000000"/>
      <w:lang w:val="en-US" w:eastAsia="sk-SK"/>
    </w:rPr>
  </w:style>
  <w:style w:type="character" w:customStyle="1" w:styleId="ObyajntextChar">
    <w:name w:val="Obyčajný text Char"/>
    <w:basedOn w:val="Predvolenpsmoodseku"/>
    <w:link w:val="Obyajntext"/>
    <w:uiPriority w:val="99"/>
    <w:semiHidden/>
    <w:rsid w:val="00332909"/>
    <w:rPr>
      <w:rFonts w:ascii="Calibri" w:eastAsia="Arial Unicode MS" w:hAnsi="Calibri" w:cs="Arial Unicode MS"/>
      <w:color w:val="000000"/>
      <w:u w:color="000000"/>
      <w:lang w:val="en-US" w:eastAsia="sk-SK"/>
    </w:rPr>
  </w:style>
  <w:style w:type="paragraph" w:styleId="Predmetkomentra">
    <w:name w:val="annotation subject"/>
    <w:basedOn w:val="Textkomentra"/>
    <w:next w:val="Textkomentra"/>
    <w:link w:val="PredmetkomentraChar"/>
    <w:uiPriority w:val="99"/>
    <w:semiHidden/>
    <w:unhideWhenUsed/>
    <w:rsid w:val="00332909"/>
    <w:rPr>
      <w:b/>
      <w:bCs/>
    </w:rPr>
  </w:style>
  <w:style w:type="character" w:customStyle="1" w:styleId="PredmetkomentraChar">
    <w:name w:val="Predmet komentára Char"/>
    <w:basedOn w:val="TextkomentraChar"/>
    <w:link w:val="Predmetkomentra"/>
    <w:uiPriority w:val="99"/>
    <w:semiHidden/>
    <w:rsid w:val="00332909"/>
    <w:rPr>
      <w:rFonts w:ascii="Times New Roman" w:hAnsi="Times New Roman"/>
      <w:b/>
      <w:bCs/>
      <w:sz w:val="20"/>
      <w:szCs w:val="20"/>
    </w:rPr>
  </w:style>
  <w:style w:type="paragraph" w:styleId="Textbubliny">
    <w:name w:val="Balloon Text"/>
    <w:basedOn w:val="Normlny"/>
    <w:link w:val="TextbublinyChar"/>
    <w:uiPriority w:val="99"/>
    <w:semiHidden/>
    <w:unhideWhenUsed/>
    <w:rsid w:val="0033290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332909"/>
    <w:rPr>
      <w:rFonts w:ascii="Segoe UI" w:hAnsi="Segoe UI" w:cs="Segoe UI"/>
      <w:sz w:val="18"/>
      <w:szCs w:val="18"/>
    </w:rPr>
  </w:style>
  <w:style w:type="paragraph" w:styleId="Bezriadkovania">
    <w:name w:val="No Spacing"/>
    <w:uiPriority w:val="99"/>
    <w:qFormat/>
    <w:rsid w:val="00332909"/>
    <w:pPr>
      <w:spacing w:after="0" w:line="240" w:lineRule="auto"/>
    </w:pPr>
    <w:rPr>
      <w:rFonts w:ascii="Calibri" w:eastAsia="Arial Unicode MS" w:hAnsi="Calibri" w:cs="Arial Unicode MS"/>
      <w:color w:val="000000"/>
      <w:u w:color="000000"/>
      <w:lang w:eastAsia="sk-SK"/>
    </w:rPr>
  </w:style>
  <w:style w:type="paragraph" w:styleId="Revzia">
    <w:name w:val="Revision"/>
    <w:uiPriority w:val="99"/>
    <w:semiHidden/>
    <w:rsid w:val="00332909"/>
    <w:pPr>
      <w:spacing w:after="0" w:line="240" w:lineRule="auto"/>
    </w:pPr>
  </w:style>
  <w:style w:type="character" w:customStyle="1" w:styleId="OdsekzoznamuChar">
    <w:name w:val="Odsek zoznamu Char"/>
    <w:aliases w:val="body Char,Odsek zoznamu2 Char,Odstavec se seznamem1 Char,Odsek zoznamu3 Char,List Paragraph Char"/>
    <w:basedOn w:val="Predvolenpsmoodseku"/>
    <w:link w:val="Odsekzoznamu"/>
    <w:uiPriority w:val="34"/>
    <w:qFormat/>
    <w:locked/>
    <w:rsid w:val="00332909"/>
    <w:rPr>
      <w:rFonts w:ascii="Times New Roman" w:hAnsi="Times New Roman" w:cs="Times New Roman"/>
    </w:rPr>
  </w:style>
  <w:style w:type="paragraph" w:styleId="Odsekzoznamu">
    <w:name w:val="List Paragraph"/>
    <w:aliases w:val="body,Odsek zoznamu2,Odstavec se seznamem1,Odsek zoznamu3,List Paragraph"/>
    <w:basedOn w:val="Normlny"/>
    <w:link w:val="OdsekzoznamuChar"/>
    <w:uiPriority w:val="34"/>
    <w:qFormat/>
    <w:rsid w:val="00332909"/>
    <w:pPr>
      <w:ind w:left="720"/>
      <w:contextualSpacing/>
    </w:pPr>
    <w:rPr>
      <w:rFonts w:cs="Times New Roman"/>
    </w:rPr>
  </w:style>
  <w:style w:type="paragraph" w:styleId="Hlavikaobsahu">
    <w:name w:val="TOC Heading"/>
    <w:next w:val="Normlny"/>
    <w:uiPriority w:val="39"/>
    <w:unhideWhenUsed/>
    <w:qFormat/>
    <w:rsid w:val="00332909"/>
    <w:pPr>
      <w:keepNext/>
      <w:keepLines/>
      <w:spacing w:before="480" w:after="0"/>
    </w:pPr>
    <w:rPr>
      <w:rFonts w:ascii="Calibri" w:eastAsia="Arial Unicode MS" w:hAnsi="Calibri" w:cs="Arial Unicode MS"/>
      <w:b/>
      <w:bCs/>
      <w:color w:val="2E74B5"/>
      <w:sz w:val="28"/>
      <w:szCs w:val="28"/>
      <w:u w:color="2E74B5"/>
      <w:lang w:eastAsia="sk-SK"/>
    </w:rPr>
  </w:style>
  <w:style w:type="paragraph" w:customStyle="1" w:styleId="SubtitleA">
    <w:name w:val="Subtitle A"/>
    <w:next w:val="Normlny"/>
    <w:uiPriority w:val="99"/>
    <w:semiHidden/>
    <w:rsid w:val="00332909"/>
    <w:pPr>
      <w:jc w:val="both"/>
    </w:pPr>
    <w:rPr>
      <w:rFonts w:ascii="Times New Roman" w:eastAsia="Arial Unicode MS" w:hAnsi="Times New Roman" w:cs="Arial Unicode MS"/>
      <w:b/>
      <w:bCs/>
      <w:color w:val="000000"/>
      <w:sz w:val="24"/>
      <w:szCs w:val="24"/>
      <w:u w:color="000000"/>
      <w:lang w:val="sv-SE" w:eastAsia="sk-SK"/>
    </w:rPr>
  </w:style>
  <w:style w:type="paragraph" w:customStyle="1" w:styleId="Default">
    <w:name w:val="Default"/>
    <w:uiPriority w:val="99"/>
    <w:semiHidden/>
    <w:rsid w:val="00332909"/>
    <w:pPr>
      <w:autoSpaceDE w:val="0"/>
      <w:autoSpaceDN w:val="0"/>
      <w:adjustRightInd w:val="0"/>
      <w:spacing w:after="0" w:line="240" w:lineRule="auto"/>
    </w:pPr>
    <w:rPr>
      <w:rFonts w:ascii="Arial" w:hAnsi="Arial" w:cs="Arial"/>
      <w:color w:val="000000"/>
      <w:sz w:val="24"/>
      <w:szCs w:val="24"/>
    </w:rPr>
  </w:style>
  <w:style w:type="paragraph" w:customStyle="1" w:styleId="HeaderFooter">
    <w:name w:val="Header &amp; Footer"/>
    <w:uiPriority w:val="99"/>
    <w:semiHidden/>
    <w:rsid w:val="00332909"/>
    <w:pP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msonormal0">
    <w:name w:val="msonormal"/>
    <w:basedOn w:val="Normlny"/>
    <w:uiPriority w:val="99"/>
    <w:semiHidden/>
    <w:rsid w:val="00332909"/>
    <w:pPr>
      <w:spacing w:before="100" w:beforeAutospacing="1" w:after="100" w:afterAutospacing="1" w:line="240" w:lineRule="auto"/>
    </w:pPr>
    <w:rPr>
      <w:rFonts w:eastAsia="Times New Roman" w:cs="Times New Roman"/>
      <w:sz w:val="24"/>
      <w:szCs w:val="24"/>
      <w:u w:color="000000"/>
      <w:lang w:val="en-US"/>
    </w:rPr>
  </w:style>
  <w:style w:type="paragraph" w:customStyle="1" w:styleId="font5">
    <w:name w:val="font5"/>
    <w:basedOn w:val="Normlny"/>
    <w:uiPriority w:val="99"/>
    <w:semiHidden/>
    <w:rsid w:val="00332909"/>
    <w:pPr>
      <w:spacing w:before="100" w:beforeAutospacing="1" w:after="100" w:afterAutospacing="1" w:line="240" w:lineRule="auto"/>
    </w:pPr>
    <w:rPr>
      <w:rFonts w:ascii="Calibri" w:eastAsia="Times New Roman" w:hAnsi="Calibri" w:cs="Calibri"/>
      <w:b/>
      <w:bCs/>
      <w:color w:val="000000"/>
      <w:u w:color="000000"/>
      <w:lang w:val="en-US"/>
    </w:rPr>
  </w:style>
  <w:style w:type="paragraph" w:customStyle="1" w:styleId="xl65">
    <w:name w:val="xl65"/>
    <w:basedOn w:val="Normlny"/>
    <w:uiPriority w:val="99"/>
    <w:semiHidden/>
    <w:rsid w:val="00332909"/>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66">
    <w:name w:val="xl66"/>
    <w:basedOn w:val="Normlny"/>
    <w:uiPriority w:val="99"/>
    <w:semiHidden/>
    <w:rsid w:val="00332909"/>
    <w:pPr>
      <w:pBdr>
        <w:top w:val="single" w:sz="4" w:space="0" w:color="auto"/>
        <w:bottom w:val="single" w:sz="4" w:space="0" w:color="auto"/>
        <w:right w:val="single" w:sz="4" w:space="0" w:color="auto"/>
      </w:pBdr>
      <w:shd w:val="clear" w:color="auto" w:fill="BDD7EE"/>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67">
    <w:name w:val="xl67"/>
    <w:basedOn w:val="Normlny"/>
    <w:uiPriority w:val="99"/>
    <w:semiHidden/>
    <w:rsid w:val="00332909"/>
    <w:pPr>
      <w:pBdr>
        <w:top w:val="single" w:sz="4" w:space="0" w:color="auto"/>
        <w:left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68">
    <w:name w:val="xl68"/>
    <w:basedOn w:val="Normlny"/>
    <w:uiPriority w:val="99"/>
    <w:semiHidden/>
    <w:rsid w:val="00332909"/>
    <w:pPr>
      <w:pBdr>
        <w:top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69">
    <w:name w:val="xl69"/>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70">
    <w:name w:val="xl70"/>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71">
    <w:name w:val="xl71"/>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72">
    <w:name w:val="xl72"/>
    <w:basedOn w:val="Normlny"/>
    <w:uiPriority w:val="99"/>
    <w:semiHidden/>
    <w:rsid w:val="0033290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73">
    <w:name w:val="xl73"/>
    <w:basedOn w:val="Normlny"/>
    <w:uiPriority w:val="99"/>
    <w:semiHidden/>
    <w:rsid w:val="00332909"/>
    <w:pPr>
      <w:pBdr>
        <w:top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74">
    <w:name w:val="xl74"/>
    <w:basedOn w:val="Normlny"/>
    <w:uiPriority w:val="99"/>
    <w:semiHidden/>
    <w:rsid w:val="00332909"/>
    <w:pPr>
      <w:pBdr>
        <w:top w:val="single" w:sz="4" w:space="0" w:color="auto"/>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75">
    <w:name w:val="xl75"/>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76">
    <w:name w:val="xl76"/>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77">
    <w:name w:val="xl77"/>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78">
    <w:name w:val="xl78"/>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79">
    <w:name w:val="xl79"/>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80">
    <w:name w:val="xl80"/>
    <w:basedOn w:val="Normlny"/>
    <w:uiPriority w:val="99"/>
    <w:semiHidden/>
    <w:rsid w:val="00332909"/>
    <w:pPr>
      <w:pBdr>
        <w:top w:val="single" w:sz="4" w:space="0" w:color="auto"/>
        <w:bottom w:val="single" w:sz="4" w:space="0" w:color="auto"/>
        <w:right w:val="single" w:sz="4" w:space="0" w:color="auto"/>
      </w:pBdr>
      <w:shd w:val="clear" w:color="auto" w:fill="C6E0B4"/>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81">
    <w:name w:val="xl81"/>
    <w:basedOn w:val="Normlny"/>
    <w:uiPriority w:val="99"/>
    <w:semiHidden/>
    <w:rsid w:val="00332909"/>
    <w:pPr>
      <w:pBdr>
        <w:top w:val="single" w:sz="4" w:space="0" w:color="auto"/>
        <w:bottom w:val="single" w:sz="4" w:space="0" w:color="auto"/>
        <w:right w:val="single" w:sz="4" w:space="0" w:color="auto"/>
      </w:pBdr>
      <w:shd w:val="clear" w:color="auto" w:fill="BDD7EE"/>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82">
    <w:name w:val="xl82"/>
    <w:basedOn w:val="Normlny"/>
    <w:uiPriority w:val="99"/>
    <w:semiHidden/>
    <w:rsid w:val="00332909"/>
    <w:pPr>
      <w:pBdr>
        <w:top w:val="single" w:sz="4" w:space="0" w:color="auto"/>
        <w:left w:val="single" w:sz="4" w:space="0" w:color="auto"/>
        <w:bottom w:val="single" w:sz="4" w:space="0" w:color="auto"/>
      </w:pBdr>
      <w:shd w:val="clear" w:color="auto" w:fill="FFC1C1"/>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83">
    <w:name w:val="xl83"/>
    <w:basedOn w:val="Normlny"/>
    <w:uiPriority w:val="99"/>
    <w:semiHidden/>
    <w:rsid w:val="00332909"/>
    <w:pPr>
      <w:pBdr>
        <w:top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84">
    <w:name w:val="xl84"/>
    <w:basedOn w:val="Normlny"/>
    <w:uiPriority w:val="99"/>
    <w:semiHidden/>
    <w:rsid w:val="00332909"/>
    <w:pPr>
      <w:pBdr>
        <w:top w:val="single" w:sz="4" w:space="0" w:color="auto"/>
        <w:bottom w:val="single" w:sz="4" w:space="0" w:color="auto"/>
        <w:right w:val="single" w:sz="4" w:space="0" w:color="auto"/>
      </w:pBdr>
      <w:shd w:val="clear" w:color="auto" w:fill="FCE4D6"/>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85">
    <w:name w:val="xl85"/>
    <w:basedOn w:val="Normlny"/>
    <w:uiPriority w:val="99"/>
    <w:semiHidden/>
    <w:rsid w:val="00332909"/>
    <w:pPr>
      <w:pBdr>
        <w:top w:val="single" w:sz="4" w:space="0" w:color="auto"/>
        <w:bottom w:val="single" w:sz="4" w:space="0" w:color="auto"/>
        <w:right w:val="single" w:sz="4" w:space="0" w:color="auto"/>
      </w:pBdr>
      <w:shd w:val="clear" w:color="auto" w:fill="FCE4D6"/>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86">
    <w:name w:val="xl86"/>
    <w:basedOn w:val="Normlny"/>
    <w:uiPriority w:val="99"/>
    <w:semiHidden/>
    <w:rsid w:val="00332909"/>
    <w:pPr>
      <w:pBdr>
        <w:top w:val="single" w:sz="4" w:space="0" w:color="auto"/>
        <w:bottom w:val="single" w:sz="4" w:space="0" w:color="auto"/>
        <w:right w:val="single" w:sz="4" w:space="0" w:color="auto"/>
      </w:pBdr>
      <w:shd w:val="clear" w:color="auto" w:fill="F8CBAD"/>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87">
    <w:name w:val="xl87"/>
    <w:basedOn w:val="Normlny"/>
    <w:uiPriority w:val="99"/>
    <w:semiHidden/>
    <w:rsid w:val="00332909"/>
    <w:pPr>
      <w:pBdr>
        <w:top w:val="single" w:sz="4" w:space="0" w:color="auto"/>
        <w:bottom w:val="single" w:sz="4" w:space="0" w:color="auto"/>
        <w:right w:val="single" w:sz="4" w:space="0" w:color="auto"/>
      </w:pBdr>
      <w:shd w:val="clear" w:color="auto" w:fill="BDD7EE"/>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88">
    <w:name w:val="xl88"/>
    <w:basedOn w:val="Normlny"/>
    <w:uiPriority w:val="99"/>
    <w:semiHidden/>
    <w:rsid w:val="00332909"/>
    <w:pPr>
      <w:pBdr>
        <w:top w:val="single" w:sz="4" w:space="0" w:color="auto"/>
        <w:bottom w:val="single" w:sz="4" w:space="0" w:color="auto"/>
        <w:right w:val="single" w:sz="4" w:space="0" w:color="auto"/>
      </w:pBdr>
      <w:shd w:val="clear" w:color="auto" w:fill="DDEBF7"/>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89">
    <w:name w:val="xl89"/>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90">
    <w:name w:val="xl90"/>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91">
    <w:name w:val="xl91"/>
    <w:basedOn w:val="Normlny"/>
    <w:uiPriority w:val="99"/>
    <w:semiHidden/>
    <w:rsid w:val="00332909"/>
    <w:pPr>
      <w:pBdr>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92">
    <w:name w:val="xl92"/>
    <w:basedOn w:val="Normlny"/>
    <w:uiPriority w:val="99"/>
    <w:semiHidden/>
    <w:rsid w:val="00332909"/>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93">
    <w:name w:val="xl93"/>
    <w:basedOn w:val="Normlny"/>
    <w:uiPriority w:val="99"/>
    <w:semiHidden/>
    <w:rsid w:val="00332909"/>
    <w:pPr>
      <w:pBdr>
        <w:top w:val="single" w:sz="4" w:space="0" w:color="auto"/>
        <w:bottom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94">
    <w:name w:val="xl94"/>
    <w:basedOn w:val="Normlny"/>
    <w:uiPriority w:val="99"/>
    <w:semiHidden/>
    <w:rsid w:val="00332909"/>
    <w:pPr>
      <w:spacing w:before="100" w:beforeAutospacing="1" w:after="100" w:afterAutospacing="1" w:line="240" w:lineRule="auto"/>
    </w:pPr>
    <w:rPr>
      <w:rFonts w:eastAsia="Times New Roman" w:cs="Times New Roman"/>
      <w:sz w:val="24"/>
      <w:szCs w:val="24"/>
      <w:u w:color="000000"/>
      <w:lang w:val="en-US"/>
    </w:rPr>
  </w:style>
  <w:style w:type="paragraph" w:customStyle="1" w:styleId="xl95">
    <w:name w:val="xl95"/>
    <w:basedOn w:val="Normlny"/>
    <w:uiPriority w:val="99"/>
    <w:semiHidden/>
    <w:rsid w:val="00332909"/>
    <w:pPr>
      <w:spacing w:before="100" w:beforeAutospacing="1" w:after="100" w:afterAutospacing="1" w:line="240" w:lineRule="auto"/>
    </w:pPr>
    <w:rPr>
      <w:rFonts w:eastAsia="Times New Roman" w:cs="Times New Roman"/>
      <w:b/>
      <w:bCs/>
      <w:sz w:val="24"/>
      <w:szCs w:val="24"/>
      <w:u w:color="000000"/>
      <w:lang w:val="en-US"/>
    </w:rPr>
  </w:style>
  <w:style w:type="paragraph" w:customStyle="1" w:styleId="xl96">
    <w:name w:val="xl96"/>
    <w:basedOn w:val="Normlny"/>
    <w:uiPriority w:val="99"/>
    <w:semiHidden/>
    <w:rsid w:val="00332909"/>
    <w:pP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97">
    <w:name w:val="xl97"/>
    <w:basedOn w:val="Normlny"/>
    <w:uiPriority w:val="99"/>
    <w:semiHidden/>
    <w:rsid w:val="00332909"/>
    <w:pP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98">
    <w:name w:val="xl98"/>
    <w:basedOn w:val="Normlny"/>
    <w:uiPriority w:val="99"/>
    <w:semiHidden/>
    <w:rsid w:val="00332909"/>
    <w:pPr>
      <w:spacing w:before="100" w:beforeAutospacing="1" w:after="100" w:afterAutospacing="1" w:line="240" w:lineRule="auto"/>
    </w:pPr>
    <w:rPr>
      <w:rFonts w:eastAsia="Times New Roman" w:cs="Times New Roman"/>
      <w:sz w:val="20"/>
      <w:szCs w:val="20"/>
      <w:u w:color="000000"/>
      <w:lang w:val="en-US"/>
    </w:rPr>
  </w:style>
  <w:style w:type="paragraph" w:customStyle="1" w:styleId="xl99">
    <w:name w:val="xl99"/>
    <w:basedOn w:val="Normlny"/>
    <w:uiPriority w:val="99"/>
    <w:semiHidden/>
    <w:rsid w:val="00332909"/>
    <w:pP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00">
    <w:name w:val="xl100"/>
    <w:basedOn w:val="Normlny"/>
    <w:uiPriority w:val="99"/>
    <w:semiHidden/>
    <w:rsid w:val="00332909"/>
    <w:pP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01">
    <w:name w:val="xl101"/>
    <w:basedOn w:val="Normlny"/>
    <w:uiPriority w:val="99"/>
    <w:semiHidden/>
    <w:rsid w:val="00332909"/>
    <w:pPr>
      <w:spacing w:before="100" w:beforeAutospacing="1" w:after="100" w:afterAutospacing="1" w:line="240" w:lineRule="auto"/>
    </w:pPr>
    <w:rPr>
      <w:rFonts w:eastAsia="Times New Roman" w:cs="Times New Roman"/>
      <w:sz w:val="24"/>
      <w:szCs w:val="24"/>
      <w:u w:color="000000"/>
      <w:lang w:val="en-US"/>
    </w:rPr>
  </w:style>
  <w:style w:type="paragraph" w:customStyle="1" w:styleId="xl102">
    <w:name w:val="xl102"/>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03">
    <w:name w:val="xl103"/>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04">
    <w:name w:val="xl104"/>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05">
    <w:name w:val="xl105"/>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06">
    <w:name w:val="xl106"/>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07">
    <w:name w:val="xl107"/>
    <w:basedOn w:val="Normlny"/>
    <w:uiPriority w:val="99"/>
    <w:semiHidden/>
    <w:rsid w:val="00332909"/>
    <w:pPr>
      <w:pBdr>
        <w:top w:val="single" w:sz="4" w:space="0" w:color="auto"/>
        <w:bottom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08">
    <w:name w:val="xl108"/>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pPr>
    <w:rPr>
      <w:rFonts w:eastAsia="Times New Roman" w:cs="Times New Roman"/>
      <w:sz w:val="20"/>
      <w:szCs w:val="20"/>
      <w:u w:color="000000"/>
      <w:lang w:val="en-US"/>
    </w:rPr>
  </w:style>
  <w:style w:type="paragraph" w:customStyle="1" w:styleId="xl109">
    <w:name w:val="xl109"/>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10">
    <w:name w:val="xl110"/>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11">
    <w:name w:val="xl111"/>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12">
    <w:name w:val="xl112"/>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13">
    <w:name w:val="xl113"/>
    <w:basedOn w:val="Normlny"/>
    <w:uiPriority w:val="99"/>
    <w:semiHidden/>
    <w:rsid w:val="00332909"/>
    <w:pPr>
      <w:pBdr>
        <w:top w:val="single" w:sz="4" w:space="0" w:color="auto"/>
        <w:bottom w:val="single" w:sz="4" w:space="0" w:color="auto"/>
      </w:pBdr>
      <w:shd w:val="clear" w:color="auto" w:fill="FFC1C1"/>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14">
    <w:name w:val="xl114"/>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15">
    <w:name w:val="xl115"/>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16">
    <w:name w:val="xl116"/>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17">
    <w:name w:val="xl117"/>
    <w:basedOn w:val="Normlny"/>
    <w:uiPriority w:val="99"/>
    <w:semiHidden/>
    <w:rsid w:val="00332909"/>
    <w:pPr>
      <w:pBdr>
        <w:top w:val="single" w:sz="4" w:space="0" w:color="auto"/>
        <w:left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18">
    <w:name w:val="xl118"/>
    <w:basedOn w:val="Normlny"/>
    <w:uiPriority w:val="99"/>
    <w:semiHidden/>
    <w:rsid w:val="00332909"/>
    <w:pPr>
      <w:pBdr>
        <w:top w:val="single" w:sz="4" w:space="0" w:color="auto"/>
        <w:left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19">
    <w:name w:val="xl119"/>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8"/>
      <w:szCs w:val="18"/>
      <w:u w:color="000000"/>
      <w:lang w:val="en-US"/>
    </w:rPr>
  </w:style>
  <w:style w:type="paragraph" w:customStyle="1" w:styleId="xl120">
    <w:name w:val="xl120"/>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21">
    <w:name w:val="xl121"/>
    <w:basedOn w:val="Normlny"/>
    <w:uiPriority w:val="99"/>
    <w:semiHidden/>
    <w:rsid w:val="00332909"/>
    <w:pPr>
      <w:pBdr>
        <w:top w:val="single" w:sz="4" w:space="0" w:color="auto"/>
        <w:left w:val="single" w:sz="4" w:space="0" w:color="auto"/>
        <w:bottom w:val="single" w:sz="4" w:space="0" w:color="auto"/>
      </w:pBdr>
      <w:shd w:val="clear" w:color="auto" w:fill="DDEBF7"/>
      <w:spacing w:before="100" w:beforeAutospacing="1" w:after="100" w:afterAutospacing="1" w:line="240" w:lineRule="auto"/>
    </w:pPr>
    <w:rPr>
      <w:rFonts w:eastAsia="Times New Roman" w:cs="Times New Roman"/>
      <w:b/>
      <w:bCs/>
      <w:sz w:val="24"/>
      <w:szCs w:val="24"/>
      <w:u w:color="000000"/>
      <w:lang w:val="en-US"/>
    </w:rPr>
  </w:style>
  <w:style w:type="paragraph" w:customStyle="1" w:styleId="xl122">
    <w:name w:val="xl122"/>
    <w:basedOn w:val="Normlny"/>
    <w:uiPriority w:val="99"/>
    <w:semiHidden/>
    <w:rsid w:val="00332909"/>
    <w:pPr>
      <w:pBdr>
        <w:top w:val="single" w:sz="4" w:space="0" w:color="auto"/>
        <w:left w:val="single" w:sz="4" w:space="0" w:color="auto"/>
        <w:bottom w:val="single" w:sz="4" w:space="0" w:color="auto"/>
      </w:pBdr>
      <w:shd w:val="clear" w:color="auto" w:fill="C6E0B4"/>
      <w:spacing w:before="100" w:beforeAutospacing="1" w:after="100" w:afterAutospacing="1" w:line="240" w:lineRule="auto"/>
    </w:pPr>
    <w:rPr>
      <w:rFonts w:eastAsia="Times New Roman" w:cs="Times New Roman"/>
      <w:b/>
      <w:bCs/>
      <w:sz w:val="24"/>
      <w:szCs w:val="24"/>
      <w:u w:color="000000"/>
      <w:lang w:val="en-US"/>
    </w:rPr>
  </w:style>
  <w:style w:type="paragraph" w:customStyle="1" w:styleId="xl123">
    <w:name w:val="xl123"/>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pPr>
    <w:rPr>
      <w:rFonts w:eastAsia="Times New Roman" w:cs="Times New Roman"/>
      <w:b/>
      <w:bCs/>
      <w:sz w:val="20"/>
      <w:szCs w:val="20"/>
      <w:u w:color="000000"/>
      <w:lang w:val="en-US"/>
    </w:rPr>
  </w:style>
  <w:style w:type="paragraph" w:customStyle="1" w:styleId="xl124">
    <w:name w:val="xl124"/>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25">
    <w:name w:val="xl125"/>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26">
    <w:name w:val="xl126"/>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27">
    <w:name w:val="xl127"/>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28">
    <w:name w:val="xl128"/>
    <w:basedOn w:val="Normlny"/>
    <w:uiPriority w:val="99"/>
    <w:semiHidden/>
    <w:rsid w:val="00332909"/>
    <w:pPr>
      <w:pBdr>
        <w:top w:val="single" w:sz="4" w:space="0" w:color="auto"/>
        <w:bottom w:val="single" w:sz="4" w:space="0" w:color="auto"/>
      </w:pBdr>
      <w:shd w:val="clear" w:color="auto" w:fill="F8CBAD"/>
      <w:spacing w:before="100" w:beforeAutospacing="1" w:after="100" w:afterAutospacing="1" w:line="240" w:lineRule="auto"/>
    </w:pPr>
    <w:rPr>
      <w:rFonts w:eastAsia="Times New Roman" w:cs="Times New Roman"/>
      <w:sz w:val="20"/>
      <w:szCs w:val="20"/>
      <w:u w:color="000000"/>
      <w:lang w:val="en-US"/>
    </w:rPr>
  </w:style>
  <w:style w:type="paragraph" w:customStyle="1" w:styleId="xl129">
    <w:name w:val="xl129"/>
    <w:basedOn w:val="Normlny"/>
    <w:uiPriority w:val="99"/>
    <w:semiHidden/>
    <w:rsid w:val="00332909"/>
    <w:pPr>
      <w:pBdr>
        <w:top w:val="single" w:sz="4" w:space="0" w:color="auto"/>
        <w:bottom w:val="single" w:sz="4" w:space="0" w:color="auto"/>
      </w:pBdr>
      <w:shd w:val="clear" w:color="auto" w:fill="F8CBAD"/>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30">
    <w:name w:val="xl130"/>
    <w:basedOn w:val="Normlny"/>
    <w:uiPriority w:val="99"/>
    <w:semiHidden/>
    <w:rsid w:val="00332909"/>
    <w:pPr>
      <w:pBdr>
        <w:top w:val="single" w:sz="4" w:space="0" w:color="auto"/>
        <w:bottom w:val="single" w:sz="4" w:space="0" w:color="auto"/>
      </w:pBdr>
      <w:shd w:val="clear" w:color="auto" w:fill="F8CBAD"/>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31">
    <w:name w:val="xl131"/>
    <w:basedOn w:val="Normlny"/>
    <w:uiPriority w:val="99"/>
    <w:semiHidden/>
    <w:rsid w:val="00332909"/>
    <w:pPr>
      <w:pBdr>
        <w:top w:val="single" w:sz="4" w:space="0" w:color="auto"/>
        <w:bottom w:val="single" w:sz="4" w:space="0" w:color="auto"/>
      </w:pBdr>
      <w:shd w:val="clear" w:color="auto" w:fill="F8CBAD"/>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32">
    <w:name w:val="xl132"/>
    <w:basedOn w:val="Normlny"/>
    <w:uiPriority w:val="99"/>
    <w:semiHidden/>
    <w:rsid w:val="00332909"/>
    <w:pPr>
      <w:pBdr>
        <w:top w:val="single" w:sz="4" w:space="0" w:color="auto"/>
        <w:bottom w:val="single" w:sz="4" w:space="0" w:color="auto"/>
      </w:pBdr>
      <w:shd w:val="clear" w:color="auto" w:fill="F8CBAD"/>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33">
    <w:name w:val="xl133"/>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pPr>
    <w:rPr>
      <w:rFonts w:eastAsia="Times New Roman" w:cs="Times New Roman"/>
      <w:sz w:val="20"/>
      <w:szCs w:val="20"/>
      <w:u w:color="000000"/>
      <w:lang w:val="en-US"/>
    </w:rPr>
  </w:style>
  <w:style w:type="paragraph" w:customStyle="1" w:styleId="xl134">
    <w:name w:val="xl134"/>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35">
    <w:name w:val="xl135"/>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36">
    <w:name w:val="xl136"/>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37">
    <w:name w:val="xl137"/>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38">
    <w:name w:val="xl138"/>
    <w:basedOn w:val="Normlny"/>
    <w:uiPriority w:val="99"/>
    <w:semiHidden/>
    <w:rsid w:val="00332909"/>
    <w:pPr>
      <w:pBdr>
        <w:top w:val="single" w:sz="4" w:space="0" w:color="auto"/>
        <w:left w:val="single" w:sz="4" w:space="0" w:color="auto"/>
        <w:bottom w:val="single" w:sz="4" w:space="0" w:color="auto"/>
      </w:pBdr>
      <w:shd w:val="clear" w:color="auto" w:fill="BDD7EE"/>
      <w:spacing w:before="100" w:beforeAutospacing="1" w:after="100" w:afterAutospacing="1" w:line="240" w:lineRule="auto"/>
    </w:pPr>
    <w:rPr>
      <w:rFonts w:eastAsia="Times New Roman" w:cs="Times New Roman"/>
      <w:b/>
      <w:bCs/>
      <w:sz w:val="24"/>
      <w:szCs w:val="24"/>
      <w:u w:color="000000"/>
      <w:lang w:val="en-US"/>
    </w:rPr>
  </w:style>
  <w:style w:type="paragraph" w:customStyle="1" w:styleId="xl139">
    <w:name w:val="xl139"/>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40">
    <w:name w:val="xl140"/>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41">
    <w:name w:val="xl141"/>
    <w:basedOn w:val="Normlny"/>
    <w:uiPriority w:val="99"/>
    <w:semiHidden/>
    <w:rsid w:val="00332909"/>
    <w:pPr>
      <w:pBdr>
        <w:top w:val="single" w:sz="4" w:space="0" w:color="auto"/>
        <w:left w:val="single" w:sz="4" w:space="0" w:color="auto"/>
        <w:bottom w:val="single" w:sz="4" w:space="0" w:color="auto"/>
      </w:pBdr>
      <w:shd w:val="clear" w:color="auto" w:fill="FCE4D6"/>
      <w:spacing w:before="100" w:beforeAutospacing="1" w:after="100" w:afterAutospacing="1" w:line="240" w:lineRule="auto"/>
    </w:pPr>
    <w:rPr>
      <w:rFonts w:eastAsia="Times New Roman" w:cs="Times New Roman"/>
      <w:b/>
      <w:bCs/>
      <w:sz w:val="24"/>
      <w:szCs w:val="24"/>
      <w:u w:color="000000"/>
      <w:lang w:val="en-US"/>
    </w:rPr>
  </w:style>
  <w:style w:type="paragraph" w:customStyle="1" w:styleId="xl142">
    <w:name w:val="xl142"/>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pPr>
    <w:rPr>
      <w:rFonts w:eastAsia="Times New Roman" w:cs="Times New Roman"/>
      <w:b/>
      <w:bCs/>
      <w:sz w:val="20"/>
      <w:szCs w:val="20"/>
      <w:u w:color="000000"/>
      <w:lang w:val="en-US"/>
    </w:rPr>
  </w:style>
  <w:style w:type="paragraph" w:customStyle="1" w:styleId="xl143">
    <w:name w:val="xl143"/>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44">
    <w:name w:val="xl144"/>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45">
    <w:name w:val="xl145"/>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46">
    <w:name w:val="xl146"/>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47">
    <w:name w:val="xl147"/>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48">
    <w:name w:val="xl148"/>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pPr>
    <w:rPr>
      <w:rFonts w:eastAsia="Times New Roman" w:cs="Times New Roman"/>
      <w:sz w:val="20"/>
      <w:szCs w:val="20"/>
      <w:u w:color="000000"/>
      <w:lang w:val="en-US"/>
    </w:rPr>
  </w:style>
  <w:style w:type="paragraph" w:customStyle="1" w:styleId="xl149">
    <w:name w:val="xl149"/>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50">
    <w:name w:val="xl150"/>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51">
    <w:name w:val="xl151"/>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52">
    <w:name w:val="xl152"/>
    <w:basedOn w:val="Normlny"/>
    <w:uiPriority w:val="99"/>
    <w:semiHidden/>
    <w:rsid w:val="00332909"/>
    <w:pPr>
      <w:pBdr>
        <w:top w:val="single" w:sz="4" w:space="0" w:color="auto"/>
        <w:left w:val="single" w:sz="4" w:space="0" w:color="auto"/>
        <w:bottom w:val="single" w:sz="4" w:space="0" w:color="auto"/>
      </w:pBdr>
      <w:shd w:val="clear" w:color="auto" w:fill="FFF2CC"/>
      <w:spacing w:before="100" w:beforeAutospacing="1" w:after="100" w:afterAutospacing="1" w:line="240" w:lineRule="auto"/>
    </w:pPr>
    <w:rPr>
      <w:rFonts w:eastAsia="Times New Roman" w:cs="Times New Roman"/>
      <w:b/>
      <w:bCs/>
      <w:sz w:val="24"/>
      <w:szCs w:val="24"/>
      <w:u w:color="000000"/>
      <w:lang w:val="en-US"/>
    </w:rPr>
  </w:style>
  <w:style w:type="paragraph" w:customStyle="1" w:styleId="xl153">
    <w:name w:val="xl153"/>
    <w:basedOn w:val="Normlny"/>
    <w:uiPriority w:val="99"/>
    <w:semiHidden/>
    <w:rsid w:val="00332909"/>
    <w:pPr>
      <w:pBdr>
        <w:top w:val="single" w:sz="4" w:space="0" w:color="auto"/>
        <w:bottom w:val="single" w:sz="4" w:space="0" w:color="auto"/>
      </w:pBdr>
      <w:shd w:val="clear" w:color="auto" w:fill="FFF2CC"/>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54">
    <w:name w:val="xl154"/>
    <w:basedOn w:val="Normlny"/>
    <w:uiPriority w:val="99"/>
    <w:semiHidden/>
    <w:rsid w:val="00332909"/>
    <w:pPr>
      <w:pBdr>
        <w:top w:val="single" w:sz="4" w:space="0" w:color="auto"/>
        <w:bottom w:val="single" w:sz="4" w:space="0" w:color="auto"/>
      </w:pBdr>
      <w:shd w:val="clear" w:color="auto" w:fill="FFF2CC"/>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55">
    <w:name w:val="xl155"/>
    <w:basedOn w:val="Normlny"/>
    <w:uiPriority w:val="99"/>
    <w:semiHidden/>
    <w:rsid w:val="00332909"/>
    <w:pPr>
      <w:pBdr>
        <w:top w:val="single" w:sz="4" w:space="0" w:color="auto"/>
        <w:bottom w:val="single" w:sz="4" w:space="0" w:color="auto"/>
      </w:pBdr>
      <w:shd w:val="clear" w:color="auto" w:fill="FFF2CC"/>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56">
    <w:name w:val="xl156"/>
    <w:basedOn w:val="Normlny"/>
    <w:uiPriority w:val="99"/>
    <w:semiHidden/>
    <w:rsid w:val="00332909"/>
    <w:pPr>
      <w:pBdr>
        <w:top w:val="single" w:sz="4" w:space="0" w:color="auto"/>
        <w:left w:val="single" w:sz="4" w:space="0" w:color="auto"/>
        <w:bottom w:val="single" w:sz="4" w:space="0" w:color="auto"/>
      </w:pBdr>
      <w:shd w:val="clear" w:color="auto" w:fill="F8CBAD"/>
      <w:spacing w:before="100" w:beforeAutospacing="1" w:after="100" w:afterAutospacing="1" w:line="240" w:lineRule="auto"/>
    </w:pPr>
    <w:rPr>
      <w:rFonts w:eastAsia="Times New Roman" w:cs="Times New Roman"/>
      <w:b/>
      <w:bCs/>
      <w:sz w:val="24"/>
      <w:szCs w:val="24"/>
      <w:u w:color="000000"/>
      <w:lang w:val="en-US"/>
    </w:rPr>
  </w:style>
  <w:style w:type="paragraph" w:customStyle="1" w:styleId="xl157">
    <w:name w:val="xl157"/>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pPr>
    <w:rPr>
      <w:rFonts w:eastAsia="Times New Roman" w:cs="Times New Roman"/>
      <w:b/>
      <w:bCs/>
      <w:sz w:val="20"/>
      <w:szCs w:val="20"/>
      <w:u w:color="000000"/>
      <w:lang w:val="en-US"/>
    </w:rPr>
  </w:style>
  <w:style w:type="paragraph" w:customStyle="1" w:styleId="xl158">
    <w:name w:val="xl158"/>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59">
    <w:name w:val="xl159"/>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60">
    <w:name w:val="xl160"/>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61">
    <w:name w:val="xl161"/>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62">
    <w:name w:val="xl162"/>
    <w:basedOn w:val="Normlny"/>
    <w:uiPriority w:val="99"/>
    <w:semiHidden/>
    <w:rsid w:val="00332909"/>
    <w:pPr>
      <w:pBdr>
        <w:top w:val="single" w:sz="4" w:space="0" w:color="auto"/>
        <w:left w:val="single" w:sz="4" w:space="0" w:color="auto"/>
        <w:bottom w:val="single" w:sz="4" w:space="0" w:color="auto"/>
      </w:pBdr>
      <w:shd w:val="clear" w:color="auto" w:fill="FFE699"/>
      <w:spacing w:before="100" w:beforeAutospacing="1" w:after="100" w:afterAutospacing="1" w:line="240" w:lineRule="auto"/>
    </w:pPr>
    <w:rPr>
      <w:rFonts w:eastAsia="Times New Roman" w:cs="Times New Roman"/>
      <w:b/>
      <w:bCs/>
      <w:sz w:val="24"/>
      <w:szCs w:val="24"/>
      <w:u w:color="000000"/>
      <w:lang w:val="en-US"/>
    </w:rPr>
  </w:style>
  <w:style w:type="paragraph" w:customStyle="1" w:styleId="xl163">
    <w:name w:val="xl163"/>
    <w:basedOn w:val="Normlny"/>
    <w:uiPriority w:val="99"/>
    <w:semiHidden/>
    <w:rsid w:val="00332909"/>
    <w:pPr>
      <w:pBdr>
        <w:top w:val="single" w:sz="4" w:space="0" w:color="auto"/>
        <w:bottom w:val="single" w:sz="4" w:space="0" w:color="auto"/>
      </w:pBdr>
      <w:shd w:val="clear" w:color="auto" w:fill="FFE699"/>
      <w:spacing w:before="100" w:beforeAutospacing="1" w:after="100" w:afterAutospacing="1" w:line="240" w:lineRule="auto"/>
    </w:pPr>
    <w:rPr>
      <w:rFonts w:eastAsia="Times New Roman" w:cs="Times New Roman"/>
      <w:sz w:val="20"/>
      <w:szCs w:val="20"/>
      <w:u w:color="000000"/>
      <w:lang w:val="en-US"/>
    </w:rPr>
  </w:style>
  <w:style w:type="paragraph" w:customStyle="1" w:styleId="xl164">
    <w:name w:val="xl164"/>
    <w:basedOn w:val="Normlny"/>
    <w:uiPriority w:val="99"/>
    <w:semiHidden/>
    <w:rsid w:val="00332909"/>
    <w:pPr>
      <w:pBdr>
        <w:top w:val="single" w:sz="4" w:space="0" w:color="auto"/>
        <w:bottom w:val="single" w:sz="4" w:space="0" w:color="auto"/>
      </w:pBdr>
      <w:shd w:val="clear" w:color="auto" w:fill="FFE699"/>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65">
    <w:name w:val="xl165"/>
    <w:basedOn w:val="Normlny"/>
    <w:uiPriority w:val="99"/>
    <w:semiHidden/>
    <w:rsid w:val="00332909"/>
    <w:pPr>
      <w:pBdr>
        <w:top w:val="single" w:sz="4" w:space="0" w:color="auto"/>
        <w:bottom w:val="single" w:sz="4" w:space="0" w:color="auto"/>
      </w:pBdr>
      <w:shd w:val="clear" w:color="auto" w:fill="FFE699"/>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66">
    <w:name w:val="xl166"/>
    <w:basedOn w:val="Normlny"/>
    <w:uiPriority w:val="99"/>
    <w:semiHidden/>
    <w:rsid w:val="00332909"/>
    <w:pPr>
      <w:pBdr>
        <w:top w:val="single" w:sz="4" w:space="0" w:color="auto"/>
        <w:bottom w:val="single" w:sz="4" w:space="0" w:color="auto"/>
      </w:pBdr>
      <w:shd w:val="clear" w:color="auto" w:fill="FFE699"/>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67">
    <w:name w:val="xl167"/>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68">
    <w:name w:val="xl168"/>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169">
    <w:name w:val="xl169"/>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70">
    <w:name w:val="xl170"/>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71">
    <w:name w:val="xl171"/>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172">
    <w:name w:val="xl172"/>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73">
    <w:name w:val="xl173"/>
    <w:basedOn w:val="Normlny"/>
    <w:uiPriority w:val="99"/>
    <w:semiHidden/>
    <w:rsid w:val="00332909"/>
    <w:pPr>
      <w:pBdr>
        <w:top w:val="single" w:sz="8" w:space="0" w:color="auto"/>
        <w:left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eastAsia="Times New Roman" w:cs="Times New Roman"/>
      <w:b/>
      <w:bCs/>
      <w:sz w:val="24"/>
      <w:szCs w:val="24"/>
      <w:u w:color="000000"/>
      <w:lang w:val="en-US"/>
    </w:rPr>
  </w:style>
  <w:style w:type="paragraph" w:customStyle="1" w:styleId="xl174">
    <w:name w:val="xl174"/>
    <w:basedOn w:val="Normlny"/>
    <w:uiPriority w:val="99"/>
    <w:semiHidden/>
    <w:rsid w:val="00332909"/>
    <w:pPr>
      <w:pBdr>
        <w:top w:val="single" w:sz="4" w:space="0" w:color="auto"/>
        <w:bottom w:val="single" w:sz="4" w:space="0" w:color="auto"/>
      </w:pBdr>
      <w:shd w:val="clear" w:color="auto" w:fill="FFE699"/>
      <w:spacing w:before="100" w:beforeAutospacing="1" w:after="100" w:afterAutospacing="1" w:line="240" w:lineRule="auto"/>
    </w:pPr>
    <w:rPr>
      <w:rFonts w:eastAsia="Times New Roman" w:cs="Times New Roman"/>
      <w:b/>
      <w:bCs/>
      <w:sz w:val="24"/>
      <w:szCs w:val="24"/>
      <w:u w:color="000000"/>
      <w:lang w:val="en-US"/>
    </w:rPr>
  </w:style>
  <w:style w:type="paragraph" w:customStyle="1" w:styleId="xl175">
    <w:name w:val="xl175"/>
    <w:basedOn w:val="Normlny"/>
    <w:uiPriority w:val="99"/>
    <w:semiHidden/>
    <w:rsid w:val="00332909"/>
    <w:pPr>
      <w:pBdr>
        <w:top w:val="single" w:sz="4" w:space="0" w:color="auto"/>
        <w:bottom w:val="single" w:sz="4" w:space="0" w:color="auto"/>
      </w:pBdr>
      <w:shd w:val="clear" w:color="auto" w:fill="FFF2CC"/>
      <w:spacing w:before="100" w:beforeAutospacing="1" w:after="100" w:afterAutospacing="1" w:line="240" w:lineRule="auto"/>
    </w:pPr>
    <w:rPr>
      <w:rFonts w:eastAsia="Times New Roman" w:cs="Times New Roman"/>
      <w:b/>
      <w:bCs/>
      <w:sz w:val="24"/>
      <w:szCs w:val="24"/>
      <w:u w:color="000000"/>
      <w:lang w:val="en-US"/>
    </w:rPr>
  </w:style>
  <w:style w:type="paragraph" w:customStyle="1" w:styleId="xl176">
    <w:name w:val="xl176"/>
    <w:basedOn w:val="Normlny"/>
    <w:uiPriority w:val="99"/>
    <w:semiHidden/>
    <w:rsid w:val="00332909"/>
    <w:pPr>
      <w:pBdr>
        <w:top w:val="single" w:sz="4" w:space="0" w:color="auto"/>
        <w:bottom w:val="single" w:sz="4" w:space="0" w:color="auto"/>
      </w:pBdr>
      <w:shd w:val="clear" w:color="auto" w:fill="BDD7EE"/>
      <w:spacing w:before="100" w:beforeAutospacing="1" w:after="100" w:afterAutospacing="1" w:line="240" w:lineRule="auto"/>
    </w:pPr>
    <w:rPr>
      <w:rFonts w:eastAsia="Times New Roman" w:cs="Times New Roman"/>
      <w:b/>
      <w:bCs/>
      <w:sz w:val="24"/>
      <w:szCs w:val="24"/>
      <w:u w:color="000000"/>
      <w:lang w:val="en-US"/>
    </w:rPr>
  </w:style>
  <w:style w:type="paragraph" w:customStyle="1" w:styleId="xl177">
    <w:name w:val="xl177"/>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pPr>
    <w:rPr>
      <w:rFonts w:eastAsia="Times New Roman" w:cs="Times New Roman"/>
      <w:b/>
      <w:bCs/>
      <w:sz w:val="24"/>
      <w:szCs w:val="24"/>
      <w:u w:color="000000"/>
      <w:lang w:val="en-US"/>
    </w:rPr>
  </w:style>
  <w:style w:type="paragraph" w:customStyle="1" w:styleId="xl178">
    <w:name w:val="xl178"/>
    <w:basedOn w:val="Normlny"/>
    <w:uiPriority w:val="99"/>
    <w:semiHidden/>
    <w:rsid w:val="00332909"/>
    <w:pPr>
      <w:pBdr>
        <w:top w:val="single" w:sz="4" w:space="0" w:color="auto"/>
        <w:bottom w:val="single" w:sz="4" w:space="0" w:color="auto"/>
      </w:pBdr>
      <w:shd w:val="clear" w:color="auto" w:fill="F8CBAD"/>
      <w:spacing w:before="100" w:beforeAutospacing="1" w:after="100" w:afterAutospacing="1" w:line="240" w:lineRule="auto"/>
    </w:pPr>
    <w:rPr>
      <w:rFonts w:eastAsia="Times New Roman" w:cs="Times New Roman"/>
      <w:b/>
      <w:bCs/>
      <w:sz w:val="24"/>
      <w:szCs w:val="24"/>
      <w:u w:color="000000"/>
      <w:lang w:val="en-US"/>
    </w:rPr>
  </w:style>
  <w:style w:type="paragraph" w:customStyle="1" w:styleId="xl179">
    <w:name w:val="xl179"/>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pPr>
    <w:rPr>
      <w:rFonts w:eastAsia="Times New Roman" w:cs="Times New Roman"/>
      <w:b/>
      <w:bCs/>
      <w:sz w:val="24"/>
      <w:szCs w:val="24"/>
      <w:u w:color="000000"/>
      <w:lang w:val="en-US"/>
    </w:rPr>
  </w:style>
  <w:style w:type="paragraph" w:customStyle="1" w:styleId="xl180">
    <w:name w:val="xl180"/>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pPr>
    <w:rPr>
      <w:rFonts w:eastAsia="Times New Roman" w:cs="Times New Roman"/>
      <w:b/>
      <w:bCs/>
      <w:sz w:val="24"/>
      <w:szCs w:val="24"/>
      <w:u w:color="000000"/>
      <w:lang w:val="en-US"/>
    </w:rPr>
  </w:style>
  <w:style w:type="paragraph" w:customStyle="1" w:styleId="xl181">
    <w:name w:val="xl181"/>
    <w:basedOn w:val="Normlny"/>
    <w:uiPriority w:val="99"/>
    <w:semiHidden/>
    <w:rsid w:val="00332909"/>
    <w:pPr>
      <w:pBdr>
        <w:top w:val="single" w:sz="8" w:space="0" w:color="auto"/>
        <w:left w:val="single" w:sz="8" w:space="0" w:color="auto"/>
        <w:bottom w:val="single" w:sz="8" w:space="0" w:color="auto"/>
      </w:pBdr>
      <w:shd w:val="clear" w:color="auto" w:fill="BFBFBF"/>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182">
    <w:name w:val="xl182"/>
    <w:basedOn w:val="Normlny"/>
    <w:uiPriority w:val="99"/>
    <w:semiHidden/>
    <w:rsid w:val="00332909"/>
    <w:pPr>
      <w:pBdr>
        <w:top w:val="single" w:sz="8" w:space="0" w:color="auto"/>
        <w:left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eastAsia="Times New Roman" w:cs="Times New Roman"/>
      <w:b/>
      <w:bCs/>
      <w:sz w:val="24"/>
      <w:szCs w:val="24"/>
      <w:u w:color="000000"/>
      <w:lang w:val="en-US"/>
    </w:rPr>
  </w:style>
  <w:style w:type="paragraph" w:customStyle="1" w:styleId="xl183">
    <w:name w:val="xl183"/>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84">
    <w:name w:val="xl184"/>
    <w:basedOn w:val="Normlny"/>
    <w:uiPriority w:val="99"/>
    <w:semiHidden/>
    <w:rsid w:val="00332909"/>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185">
    <w:name w:val="xl185"/>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86">
    <w:name w:val="xl186"/>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87">
    <w:name w:val="xl187"/>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88">
    <w:name w:val="xl188"/>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89">
    <w:name w:val="xl189"/>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90">
    <w:name w:val="xl190"/>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91">
    <w:name w:val="xl191"/>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92">
    <w:name w:val="xl192"/>
    <w:basedOn w:val="Normlny"/>
    <w:uiPriority w:val="99"/>
    <w:semiHidden/>
    <w:rsid w:val="00332909"/>
    <w:pPr>
      <w:pBdr>
        <w:top w:val="single" w:sz="4" w:space="0" w:color="auto"/>
        <w:left w:val="single" w:sz="4" w:space="14" w:color="auto"/>
        <w:bottom w:val="single" w:sz="4" w:space="0" w:color="auto"/>
      </w:pBdr>
      <w:shd w:val="clear" w:color="auto" w:fill="FCE4D6"/>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193">
    <w:name w:val="xl193"/>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94">
    <w:name w:val="xl194"/>
    <w:basedOn w:val="Normlny"/>
    <w:uiPriority w:val="99"/>
    <w:semiHidden/>
    <w:rsid w:val="00332909"/>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95">
    <w:name w:val="xl195"/>
    <w:basedOn w:val="Normlny"/>
    <w:uiPriority w:val="99"/>
    <w:semiHidden/>
    <w:rsid w:val="00332909"/>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196">
    <w:name w:val="xl196"/>
    <w:basedOn w:val="Normlny"/>
    <w:uiPriority w:val="99"/>
    <w:semiHidden/>
    <w:rsid w:val="00332909"/>
    <w:pPr>
      <w:pBdr>
        <w:top w:val="single" w:sz="4" w:space="0" w:color="auto"/>
      </w:pBdr>
      <w:shd w:val="clear" w:color="auto" w:fill="FFF2CC"/>
      <w:spacing w:before="100" w:beforeAutospacing="1" w:after="100" w:afterAutospacing="1" w:line="240" w:lineRule="auto"/>
    </w:pPr>
    <w:rPr>
      <w:rFonts w:eastAsia="Times New Roman" w:cs="Times New Roman"/>
      <w:b/>
      <w:bCs/>
      <w:sz w:val="24"/>
      <w:szCs w:val="24"/>
      <w:u w:color="000000"/>
      <w:lang w:val="en-US"/>
    </w:rPr>
  </w:style>
  <w:style w:type="paragraph" w:customStyle="1" w:styleId="xl197">
    <w:name w:val="xl197"/>
    <w:basedOn w:val="Normlny"/>
    <w:uiPriority w:val="99"/>
    <w:semiHidden/>
    <w:rsid w:val="00332909"/>
    <w:pPr>
      <w:pBdr>
        <w:top w:val="single" w:sz="4" w:space="0" w:color="auto"/>
      </w:pBdr>
      <w:shd w:val="clear" w:color="auto" w:fill="FFF2CC"/>
      <w:spacing w:before="100" w:beforeAutospacing="1" w:after="100" w:afterAutospacing="1" w:line="240" w:lineRule="auto"/>
    </w:pPr>
    <w:rPr>
      <w:rFonts w:eastAsia="Times New Roman" w:cs="Times New Roman"/>
      <w:sz w:val="20"/>
      <w:szCs w:val="20"/>
      <w:u w:color="000000"/>
      <w:lang w:val="en-US"/>
    </w:rPr>
  </w:style>
  <w:style w:type="paragraph" w:customStyle="1" w:styleId="xl198">
    <w:name w:val="xl198"/>
    <w:basedOn w:val="Normlny"/>
    <w:uiPriority w:val="99"/>
    <w:semiHidden/>
    <w:rsid w:val="00332909"/>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199">
    <w:name w:val="xl199"/>
    <w:basedOn w:val="Normlny"/>
    <w:uiPriority w:val="99"/>
    <w:semiHidden/>
    <w:rsid w:val="0033290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200">
    <w:name w:val="xl200"/>
    <w:basedOn w:val="Normlny"/>
    <w:uiPriority w:val="99"/>
    <w:semiHidden/>
    <w:rsid w:val="0033290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201">
    <w:name w:val="xl201"/>
    <w:basedOn w:val="Normlny"/>
    <w:uiPriority w:val="99"/>
    <w:semiHidden/>
    <w:rsid w:val="00332909"/>
    <w:pPr>
      <w:pBdr>
        <w:top w:val="single" w:sz="4" w:space="0" w:color="auto"/>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202">
    <w:name w:val="xl202"/>
    <w:basedOn w:val="Normlny"/>
    <w:uiPriority w:val="99"/>
    <w:semiHidden/>
    <w:rsid w:val="00332909"/>
    <w:pPr>
      <w:pBdr>
        <w:bottom w:val="single" w:sz="4" w:space="0" w:color="auto"/>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203">
    <w:name w:val="xl203"/>
    <w:basedOn w:val="Normlny"/>
    <w:uiPriority w:val="99"/>
    <w:semiHidden/>
    <w:rsid w:val="00332909"/>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eastAsia="Times New Roman" w:cs="Times New Roman"/>
      <w:b/>
      <w:bCs/>
      <w:sz w:val="18"/>
      <w:szCs w:val="18"/>
      <w:u w:color="000000"/>
      <w:lang w:val="en-US"/>
    </w:rPr>
  </w:style>
  <w:style w:type="paragraph" w:customStyle="1" w:styleId="xl204">
    <w:name w:val="xl204"/>
    <w:basedOn w:val="Normlny"/>
    <w:uiPriority w:val="99"/>
    <w:semiHidden/>
    <w:rsid w:val="00332909"/>
    <w:pPr>
      <w:pBdr>
        <w:top w:val="single" w:sz="4" w:space="0" w:color="auto"/>
        <w:lef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05">
    <w:name w:val="xl205"/>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206">
    <w:name w:val="xl206"/>
    <w:basedOn w:val="Normlny"/>
    <w:uiPriority w:val="99"/>
    <w:semiHidden/>
    <w:rsid w:val="00332909"/>
    <w:pPr>
      <w:pBdr>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07">
    <w:name w:val="xl207"/>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208">
    <w:name w:val="xl208"/>
    <w:basedOn w:val="Normlny"/>
    <w:uiPriority w:val="99"/>
    <w:semiHidden/>
    <w:rsid w:val="00332909"/>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209">
    <w:name w:val="xl209"/>
    <w:basedOn w:val="Normlny"/>
    <w:uiPriority w:val="99"/>
    <w:semiHidden/>
    <w:rsid w:val="00332909"/>
    <w:pPr>
      <w:pBdr>
        <w:left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10">
    <w:name w:val="xl210"/>
    <w:basedOn w:val="Normlny"/>
    <w:uiPriority w:val="99"/>
    <w:semiHidden/>
    <w:rsid w:val="00332909"/>
    <w:pPr>
      <w:pBdr>
        <w:left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11">
    <w:name w:val="xl211"/>
    <w:basedOn w:val="Normlny"/>
    <w:uiPriority w:val="99"/>
    <w:semiHidden/>
    <w:rsid w:val="00332909"/>
    <w:pPr>
      <w:pBdr>
        <w:right w:val="single" w:sz="4" w:space="0" w:color="auto"/>
      </w:pBdr>
      <w:spacing w:before="100" w:beforeAutospacing="1" w:after="100" w:afterAutospacing="1" w:line="240" w:lineRule="auto"/>
    </w:pPr>
    <w:rPr>
      <w:rFonts w:eastAsia="Times New Roman" w:cs="Times New Roman"/>
      <w:sz w:val="20"/>
      <w:szCs w:val="20"/>
      <w:u w:color="000000"/>
      <w:lang w:val="en-US"/>
    </w:rPr>
  </w:style>
  <w:style w:type="paragraph" w:customStyle="1" w:styleId="xl212">
    <w:name w:val="xl212"/>
    <w:basedOn w:val="Normlny"/>
    <w:uiPriority w:val="99"/>
    <w:semiHidden/>
    <w:rsid w:val="00332909"/>
    <w:pPr>
      <w:pBdr>
        <w:top w:val="single" w:sz="4" w:space="0" w:color="auto"/>
        <w:bottom w:val="single" w:sz="4" w:space="0" w:color="auto"/>
      </w:pBdr>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13">
    <w:name w:val="xl213"/>
    <w:basedOn w:val="Normlny"/>
    <w:uiPriority w:val="99"/>
    <w:semiHidden/>
    <w:rsid w:val="00332909"/>
    <w:pPr>
      <w:pBdr>
        <w:top w:val="single" w:sz="4" w:space="0" w:color="auto"/>
        <w:left w:val="single" w:sz="4" w:space="0" w:color="auto"/>
      </w:pBdr>
      <w:spacing w:before="100" w:beforeAutospacing="1" w:after="100" w:afterAutospacing="1" w:line="240" w:lineRule="auto"/>
    </w:pPr>
    <w:rPr>
      <w:rFonts w:eastAsia="Times New Roman" w:cs="Times New Roman"/>
      <w:sz w:val="24"/>
      <w:szCs w:val="24"/>
      <w:u w:color="000000"/>
      <w:lang w:val="en-US"/>
    </w:rPr>
  </w:style>
  <w:style w:type="paragraph" w:customStyle="1" w:styleId="xl214">
    <w:name w:val="xl214"/>
    <w:basedOn w:val="Normlny"/>
    <w:uiPriority w:val="99"/>
    <w:semiHidden/>
    <w:rsid w:val="00332909"/>
    <w:pPr>
      <w:pBdr>
        <w:top w:val="single" w:sz="4" w:space="0" w:color="auto"/>
        <w:bottom w:val="single" w:sz="4" w:space="0" w:color="auto"/>
        <w:right w:val="single" w:sz="4" w:space="0" w:color="auto"/>
      </w:pBdr>
      <w:shd w:val="clear" w:color="auto" w:fill="FFF2CC"/>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15">
    <w:name w:val="xl215"/>
    <w:basedOn w:val="Normlny"/>
    <w:uiPriority w:val="99"/>
    <w:semiHidden/>
    <w:rsid w:val="00332909"/>
    <w:pPr>
      <w:pBdr>
        <w:top w:val="single" w:sz="4" w:space="0" w:color="auto"/>
        <w:bottom w:val="single" w:sz="4" w:space="0" w:color="auto"/>
        <w:right w:val="single" w:sz="4" w:space="0" w:color="auto"/>
      </w:pBdr>
      <w:shd w:val="clear" w:color="auto" w:fill="FFE699"/>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16">
    <w:name w:val="xl216"/>
    <w:basedOn w:val="Normlny"/>
    <w:uiPriority w:val="99"/>
    <w:semiHidden/>
    <w:rsid w:val="00332909"/>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217">
    <w:name w:val="xl217"/>
    <w:basedOn w:val="Normlny"/>
    <w:uiPriority w:val="99"/>
    <w:semiHidden/>
    <w:rsid w:val="00332909"/>
    <w:pPr>
      <w:pBdr>
        <w:top w:val="single" w:sz="4" w:space="0" w:color="auto"/>
        <w:left w:val="single" w:sz="4" w:space="0" w:color="auto"/>
        <w:bottom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18">
    <w:name w:val="xl218"/>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219">
    <w:name w:val="xl219"/>
    <w:basedOn w:val="Normlny"/>
    <w:uiPriority w:val="99"/>
    <w:semiHidden/>
    <w:rsid w:val="00332909"/>
    <w:pPr>
      <w:pBdr>
        <w:top w:val="single" w:sz="4" w:space="0" w:color="auto"/>
        <w:bottom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20">
    <w:name w:val="xl220"/>
    <w:basedOn w:val="Normlny"/>
    <w:uiPriority w:val="99"/>
    <w:semiHidden/>
    <w:rsid w:val="00332909"/>
    <w:pPr>
      <w:pBdr>
        <w:top w:val="single" w:sz="4" w:space="0" w:color="auto"/>
        <w:left w:val="single" w:sz="4" w:space="0" w:color="auto"/>
        <w:bottom w:val="single" w:sz="4" w:space="0" w:color="auto"/>
      </w:pBdr>
      <w:shd w:val="clear" w:color="auto" w:fill="BDD7EE"/>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21">
    <w:name w:val="xl221"/>
    <w:basedOn w:val="Normlny"/>
    <w:uiPriority w:val="99"/>
    <w:semiHidden/>
    <w:rsid w:val="00332909"/>
    <w:pPr>
      <w:pBdr>
        <w:top w:val="single" w:sz="4" w:space="0" w:color="auto"/>
        <w:left w:val="single" w:sz="4" w:space="0" w:color="auto"/>
        <w:bottom w:val="single" w:sz="4" w:space="0" w:color="auto"/>
      </w:pBdr>
      <w:shd w:val="clear" w:color="auto" w:fill="F8CBAD"/>
      <w:spacing w:before="100" w:beforeAutospacing="1" w:after="100" w:afterAutospacing="1" w:line="240" w:lineRule="auto"/>
      <w:jc w:val="center"/>
    </w:pPr>
    <w:rPr>
      <w:rFonts w:eastAsia="Times New Roman" w:cs="Times New Roman"/>
      <w:sz w:val="20"/>
      <w:szCs w:val="20"/>
      <w:u w:color="000000"/>
      <w:lang w:val="en-US"/>
    </w:rPr>
  </w:style>
  <w:style w:type="paragraph" w:customStyle="1" w:styleId="xl222">
    <w:name w:val="xl222"/>
    <w:basedOn w:val="Normlny"/>
    <w:uiPriority w:val="99"/>
    <w:semiHidden/>
    <w:rsid w:val="00332909"/>
    <w:pPr>
      <w:pBdr>
        <w:top w:val="single" w:sz="4" w:space="0" w:color="auto"/>
        <w:bottom w:val="single" w:sz="4" w:space="0" w:color="auto"/>
        <w:right w:val="single" w:sz="4" w:space="0" w:color="auto"/>
      </w:pBdr>
      <w:shd w:val="clear" w:color="auto" w:fill="FCE4D6"/>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23">
    <w:name w:val="xl223"/>
    <w:basedOn w:val="Normlny"/>
    <w:uiPriority w:val="99"/>
    <w:semiHidden/>
    <w:rsid w:val="00332909"/>
    <w:pPr>
      <w:pBdr>
        <w:top w:val="single" w:sz="4" w:space="0" w:color="auto"/>
        <w:left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24">
    <w:name w:val="xl224"/>
    <w:basedOn w:val="Normlny"/>
    <w:uiPriority w:val="99"/>
    <w:semiHidden/>
    <w:rsid w:val="00332909"/>
    <w:pPr>
      <w:pBdr>
        <w:top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25">
    <w:name w:val="xl225"/>
    <w:basedOn w:val="Normlny"/>
    <w:uiPriority w:val="99"/>
    <w:semiHidden/>
    <w:rsid w:val="00332909"/>
    <w:pPr>
      <w:pBdr>
        <w:top w:val="single" w:sz="4" w:space="0" w:color="auto"/>
        <w:left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26">
    <w:name w:val="xl226"/>
    <w:basedOn w:val="Normlny"/>
    <w:uiPriority w:val="99"/>
    <w:semiHidden/>
    <w:rsid w:val="0033290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227">
    <w:name w:val="xl227"/>
    <w:basedOn w:val="Normlny"/>
    <w:uiPriority w:val="99"/>
    <w:semiHidden/>
    <w:rsid w:val="00332909"/>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228">
    <w:name w:val="xl228"/>
    <w:basedOn w:val="Normlny"/>
    <w:uiPriority w:val="99"/>
    <w:semiHidden/>
    <w:rsid w:val="0033290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u w:color="000000"/>
      <w:lang w:val="en-US"/>
    </w:rPr>
  </w:style>
  <w:style w:type="paragraph" w:customStyle="1" w:styleId="xl229">
    <w:name w:val="xl229"/>
    <w:basedOn w:val="Normlny"/>
    <w:uiPriority w:val="99"/>
    <w:semiHidden/>
    <w:rsid w:val="00332909"/>
    <w:pPr>
      <w:pBdr>
        <w:top w:val="single" w:sz="4" w:space="0" w:color="auto"/>
        <w:bottom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sz w:val="18"/>
      <w:szCs w:val="18"/>
      <w:u w:color="000000"/>
      <w:lang w:val="en-US"/>
    </w:rPr>
  </w:style>
  <w:style w:type="paragraph" w:customStyle="1" w:styleId="xl230">
    <w:name w:val="xl230"/>
    <w:basedOn w:val="Normlny"/>
    <w:uiPriority w:val="99"/>
    <w:semiHidden/>
    <w:rsid w:val="00332909"/>
    <w:pPr>
      <w:pBdr>
        <w:top w:val="single" w:sz="4" w:space="0" w:color="auto"/>
        <w:left w:val="single" w:sz="4" w:space="0" w:color="auto"/>
        <w:bottom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31">
    <w:name w:val="xl231"/>
    <w:basedOn w:val="Normlny"/>
    <w:uiPriority w:val="99"/>
    <w:semiHidden/>
    <w:rsid w:val="00332909"/>
    <w:pPr>
      <w:pBdr>
        <w:top w:val="single" w:sz="4" w:space="0" w:color="auto"/>
        <w:left w:val="single" w:sz="4" w:space="14" w:color="auto"/>
        <w:bottom w:val="single" w:sz="4" w:space="0" w:color="auto"/>
      </w:pBdr>
      <w:shd w:val="clear" w:color="auto" w:fill="E2EFDA"/>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32">
    <w:name w:val="xl232"/>
    <w:basedOn w:val="Normlny"/>
    <w:uiPriority w:val="99"/>
    <w:semiHidden/>
    <w:rsid w:val="00332909"/>
    <w:pPr>
      <w:pBdr>
        <w:top w:val="single" w:sz="4" w:space="0" w:color="auto"/>
        <w:bottom w:val="single" w:sz="4" w:space="0" w:color="auto"/>
      </w:pBdr>
      <w:shd w:val="clear" w:color="auto" w:fill="E2EFDA"/>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33">
    <w:name w:val="xl233"/>
    <w:basedOn w:val="Normlny"/>
    <w:uiPriority w:val="99"/>
    <w:semiHidden/>
    <w:rsid w:val="00332909"/>
    <w:pPr>
      <w:pBdr>
        <w:top w:val="single" w:sz="4" w:space="0" w:color="auto"/>
        <w:bottom w:val="single" w:sz="4" w:space="0" w:color="auto"/>
        <w:right w:val="single" w:sz="4" w:space="0" w:color="auto"/>
      </w:pBdr>
      <w:shd w:val="clear" w:color="auto" w:fill="E2EFDA"/>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34">
    <w:name w:val="xl234"/>
    <w:basedOn w:val="Normlny"/>
    <w:uiPriority w:val="99"/>
    <w:semiHidden/>
    <w:rsid w:val="00332909"/>
    <w:pPr>
      <w:pBdr>
        <w:top w:val="single" w:sz="4" w:space="0" w:color="auto"/>
        <w:left w:val="single" w:sz="4" w:space="0" w:color="auto"/>
        <w:bottom w:val="single" w:sz="4" w:space="0" w:color="auto"/>
      </w:pBdr>
      <w:shd w:val="clear" w:color="auto" w:fill="BFBFBF"/>
      <w:spacing w:before="100" w:beforeAutospacing="1" w:after="100" w:afterAutospacing="1" w:line="240" w:lineRule="auto"/>
      <w:jc w:val="center"/>
    </w:pPr>
    <w:rPr>
      <w:rFonts w:eastAsia="Times New Roman" w:cs="Times New Roman"/>
      <w:b/>
      <w:bCs/>
      <w:sz w:val="28"/>
      <w:szCs w:val="28"/>
      <w:u w:color="000000"/>
      <w:lang w:val="en-US"/>
    </w:rPr>
  </w:style>
  <w:style w:type="paragraph" w:customStyle="1" w:styleId="xl235">
    <w:name w:val="xl235"/>
    <w:basedOn w:val="Normlny"/>
    <w:uiPriority w:val="99"/>
    <w:semiHidden/>
    <w:rsid w:val="00332909"/>
    <w:pPr>
      <w:pBdr>
        <w:top w:val="single" w:sz="4" w:space="0" w:color="auto"/>
        <w:bottom w:val="single" w:sz="4" w:space="0" w:color="auto"/>
      </w:pBdr>
      <w:shd w:val="clear" w:color="auto" w:fill="BFBFBF"/>
      <w:spacing w:before="100" w:beforeAutospacing="1" w:after="100" w:afterAutospacing="1" w:line="240" w:lineRule="auto"/>
      <w:jc w:val="center"/>
    </w:pPr>
    <w:rPr>
      <w:rFonts w:eastAsia="Times New Roman" w:cs="Times New Roman"/>
      <w:b/>
      <w:bCs/>
      <w:sz w:val="28"/>
      <w:szCs w:val="28"/>
      <w:u w:color="000000"/>
      <w:lang w:val="en-US"/>
    </w:rPr>
  </w:style>
  <w:style w:type="paragraph" w:customStyle="1" w:styleId="xl236">
    <w:name w:val="xl236"/>
    <w:basedOn w:val="Normlny"/>
    <w:uiPriority w:val="99"/>
    <w:semiHidden/>
    <w:rsid w:val="00332909"/>
    <w:pPr>
      <w:pBdr>
        <w:bottom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37">
    <w:name w:val="xl237"/>
    <w:basedOn w:val="Normlny"/>
    <w:uiPriority w:val="99"/>
    <w:semiHidden/>
    <w:rsid w:val="00332909"/>
    <w:pPr>
      <w:pBdr>
        <w:top w:val="single" w:sz="4" w:space="0" w:color="auto"/>
        <w:left w:val="single" w:sz="4" w:space="0" w:color="auto"/>
        <w:bottom w:val="single" w:sz="4" w:space="0" w:color="auto"/>
      </w:pBdr>
      <w:shd w:val="clear" w:color="auto" w:fill="FFC1C1"/>
      <w:spacing w:before="100" w:beforeAutospacing="1" w:after="100" w:afterAutospacing="1" w:line="240" w:lineRule="auto"/>
    </w:pPr>
    <w:rPr>
      <w:rFonts w:eastAsia="Times New Roman" w:cs="Times New Roman"/>
      <w:sz w:val="24"/>
      <w:szCs w:val="24"/>
      <w:u w:color="000000"/>
      <w:lang w:val="en-US"/>
    </w:rPr>
  </w:style>
  <w:style w:type="paragraph" w:customStyle="1" w:styleId="xl238">
    <w:name w:val="xl238"/>
    <w:basedOn w:val="Normlny"/>
    <w:uiPriority w:val="99"/>
    <w:semiHidden/>
    <w:rsid w:val="00332909"/>
    <w:pPr>
      <w:pBdr>
        <w:top w:val="single" w:sz="4" w:space="0" w:color="auto"/>
        <w:bottom w:val="single" w:sz="4" w:space="0" w:color="auto"/>
      </w:pBdr>
      <w:shd w:val="clear" w:color="auto" w:fill="FFC1C1"/>
      <w:spacing w:before="100" w:beforeAutospacing="1" w:after="100" w:afterAutospacing="1" w:line="240" w:lineRule="auto"/>
    </w:pPr>
    <w:rPr>
      <w:rFonts w:eastAsia="Times New Roman" w:cs="Times New Roman"/>
      <w:sz w:val="24"/>
      <w:szCs w:val="24"/>
      <w:u w:color="000000"/>
      <w:lang w:val="en-US"/>
    </w:rPr>
  </w:style>
  <w:style w:type="paragraph" w:customStyle="1" w:styleId="xl239">
    <w:name w:val="xl239"/>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eastAsia="Times New Roman" w:cs="Times New Roman"/>
      <w:b/>
      <w:bCs/>
      <w:sz w:val="24"/>
      <w:szCs w:val="24"/>
      <w:u w:color="000000"/>
      <w:lang w:val="en-US"/>
    </w:rPr>
  </w:style>
  <w:style w:type="paragraph" w:customStyle="1" w:styleId="xl240">
    <w:name w:val="xl240"/>
    <w:basedOn w:val="Normlny"/>
    <w:uiPriority w:val="99"/>
    <w:semiHidden/>
    <w:rsid w:val="00332909"/>
    <w:pPr>
      <w:pBdr>
        <w:top w:val="single" w:sz="4" w:space="0" w:color="auto"/>
        <w:left w:val="single" w:sz="4" w:space="27" w:color="auto"/>
        <w:bottom w:val="single" w:sz="4" w:space="0" w:color="auto"/>
      </w:pBdr>
      <w:shd w:val="clear" w:color="auto" w:fill="DDEBF7"/>
      <w:spacing w:before="100" w:beforeAutospacing="1" w:after="100" w:afterAutospacing="1" w:line="240" w:lineRule="auto"/>
      <w:ind w:firstLineChars="400" w:firstLine="400"/>
    </w:pPr>
    <w:rPr>
      <w:rFonts w:eastAsia="Times New Roman" w:cs="Times New Roman"/>
      <w:b/>
      <w:bCs/>
      <w:sz w:val="24"/>
      <w:szCs w:val="24"/>
      <w:u w:color="000000"/>
      <w:lang w:val="en-US"/>
    </w:rPr>
  </w:style>
  <w:style w:type="paragraph" w:customStyle="1" w:styleId="xl241">
    <w:name w:val="xl241"/>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ind w:firstLineChars="400" w:firstLine="400"/>
    </w:pPr>
    <w:rPr>
      <w:rFonts w:eastAsia="Times New Roman" w:cs="Times New Roman"/>
      <w:b/>
      <w:bCs/>
      <w:sz w:val="24"/>
      <w:szCs w:val="24"/>
      <w:u w:color="000000"/>
      <w:lang w:val="en-US"/>
    </w:rPr>
  </w:style>
  <w:style w:type="paragraph" w:customStyle="1" w:styleId="xl242">
    <w:name w:val="xl242"/>
    <w:basedOn w:val="Normlny"/>
    <w:uiPriority w:val="99"/>
    <w:semiHidden/>
    <w:rsid w:val="00332909"/>
    <w:pPr>
      <w:pBdr>
        <w:top w:val="single" w:sz="4" w:space="0" w:color="auto"/>
        <w:bottom w:val="single" w:sz="4" w:space="0" w:color="auto"/>
        <w:right w:val="single" w:sz="4" w:space="0" w:color="auto"/>
      </w:pBdr>
      <w:shd w:val="clear" w:color="auto" w:fill="DDEBF7"/>
      <w:spacing w:before="100" w:beforeAutospacing="1" w:after="100" w:afterAutospacing="1" w:line="240" w:lineRule="auto"/>
      <w:ind w:firstLineChars="400" w:firstLine="400"/>
    </w:pPr>
    <w:rPr>
      <w:rFonts w:eastAsia="Times New Roman" w:cs="Times New Roman"/>
      <w:b/>
      <w:bCs/>
      <w:sz w:val="24"/>
      <w:szCs w:val="24"/>
      <w:u w:color="000000"/>
      <w:lang w:val="en-US"/>
    </w:rPr>
  </w:style>
  <w:style w:type="paragraph" w:customStyle="1" w:styleId="xl243">
    <w:name w:val="xl243"/>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44">
    <w:name w:val="xl244"/>
    <w:basedOn w:val="Normlny"/>
    <w:uiPriority w:val="99"/>
    <w:semiHidden/>
    <w:rsid w:val="00332909"/>
    <w:pPr>
      <w:pBdr>
        <w:top w:val="single" w:sz="4" w:space="0" w:color="auto"/>
        <w:left w:val="single" w:sz="4" w:space="0" w:color="auto"/>
        <w:bottom w:val="single" w:sz="4" w:space="0" w:color="auto"/>
        <w:right w:val="single" w:sz="4" w:space="0" w:color="auto"/>
      </w:pBdr>
      <w:shd w:val="clear" w:color="auto" w:fill="FFC1C1"/>
      <w:spacing w:before="100" w:beforeAutospacing="1" w:after="100" w:afterAutospacing="1" w:line="240" w:lineRule="auto"/>
    </w:pPr>
    <w:rPr>
      <w:rFonts w:eastAsia="Times New Roman" w:cs="Times New Roman"/>
      <w:sz w:val="24"/>
      <w:szCs w:val="24"/>
      <w:u w:color="000000"/>
      <w:lang w:val="en-US"/>
    </w:rPr>
  </w:style>
  <w:style w:type="paragraph" w:customStyle="1" w:styleId="xl245">
    <w:name w:val="xl245"/>
    <w:basedOn w:val="Normlny"/>
    <w:uiPriority w:val="99"/>
    <w:semiHidden/>
    <w:rsid w:val="00332909"/>
    <w:pPr>
      <w:pBdr>
        <w:top w:val="single" w:sz="4" w:space="0" w:color="auto"/>
        <w:left w:val="single" w:sz="4" w:space="14" w:color="auto"/>
        <w:bottom w:val="single" w:sz="4" w:space="0" w:color="auto"/>
      </w:pBdr>
      <w:shd w:val="clear" w:color="auto" w:fill="DDEBF7"/>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46">
    <w:name w:val="xl246"/>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47">
    <w:name w:val="xl247"/>
    <w:basedOn w:val="Normlny"/>
    <w:uiPriority w:val="99"/>
    <w:semiHidden/>
    <w:rsid w:val="00332909"/>
    <w:pPr>
      <w:pBdr>
        <w:top w:val="single" w:sz="4" w:space="0" w:color="auto"/>
        <w:bottom w:val="single" w:sz="4" w:space="0" w:color="auto"/>
        <w:right w:val="single" w:sz="4" w:space="0" w:color="auto"/>
      </w:pBdr>
      <w:shd w:val="clear" w:color="auto" w:fill="DDEBF7"/>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48">
    <w:name w:val="xl248"/>
    <w:basedOn w:val="Normlny"/>
    <w:uiPriority w:val="99"/>
    <w:semiHidden/>
    <w:rsid w:val="00332909"/>
    <w:pPr>
      <w:pBdr>
        <w:top w:val="single" w:sz="4" w:space="0" w:color="auto"/>
        <w:left w:val="single" w:sz="4" w:space="14" w:color="auto"/>
        <w:bottom w:val="single" w:sz="4" w:space="0" w:color="auto"/>
      </w:pBdr>
      <w:shd w:val="clear" w:color="auto" w:fill="FCE4D6"/>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49">
    <w:name w:val="xl249"/>
    <w:basedOn w:val="Normlny"/>
    <w:uiPriority w:val="99"/>
    <w:semiHidden/>
    <w:rsid w:val="00332909"/>
    <w:pPr>
      <w:pBdr>
        <w:top w:val="single" w:sz="4" w:space="0" w:color="auto"/>
        <w:bottom w:val="single" w:sz="4" w:space="0" w:color="auto"/>
      </w:pBdr>
      <w:shd w:val="clear" w:color="auto" w:fill="FCE4D6"/>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0">
    <w:name w:val="xl250"/>
    <w:basedOn w:val="Normlny"/>
    <w:uiPriority w:val="99"/>
    <w:semiHidden/>
    <w:rsid w:val="00332909"/>
    <w:pPr>
      <w:pBdr>
        <w:top w:val="single" w:sz="4" w:space="0" w:color="auto"/>
        <w:bottom w:val="single" w:sz="4" w:space="0" w:color="auto"/>
        <w:right w:val="single" w:sz="4" w:space="0" w:color="auto"/>
      </w:pBdr>
      <w:shd w:val="clear" w:color="auto" w:fill="FCE4D6"/>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1">
    <w:name w:val="xl251"/>
    <w:basedOn w:val="Normlny"/>
    <w:uiPriority w:val="99"/>
    <w:semiHidden/>
    <w:rsid w:val="00332909"/>
    <w:pPr>
      <w:pBdr>
        <w:top w:val="single" w:sz="8" w:space="0" w:color="auto"/>
        <w:left w:val="single" w:sz="8" w:space="0" w:color="auto"/>
        <w:bottom w:val="single" w:sz="8" w:space="0" w:color="auto"/>
      </w:pBdr>
      <w:shd w:val="clear" w:color="auto" w:fill="BFBFBF"/>
      <w:spacing w:before="100" w:beforeAutospacing="1" w:after="100" w:afterAutospacing="1" w:line="240" w:lineRule="auto"/>
    </w:pPr>
    <w:rPr>
      <w:rFonts w:eastAsia="Times New Roman" w:cs="Times New Roman"/>
      <w:b/>
      <w:bCs/>
      <w:sz w:val="24"/>
      <w:szCs w:val="24"/>
      <w:u w:color="000000"/>
      <w:lang w:val="en-US"/>
    </w:rPr>
  </w:style>
  <w:style w:type="paragraph" w:customStyle="1" w:styleId="xl252">
    <w:name w:val="xl252"/>
    <w:basedOn w:val="Normlny"/>
    <w:uiPriority w:val="99"/>
    <w:semiHidden/>
    <w:rsid w:val="00332909"/>
    <w:pPr>
      <w:pBdr>
        <w:top w:val="single" w:sz="8" w:space="0" w:color="auto"/>
        <w:bottom w:val="single" w:sz="8" w:space="0" w:color="auto"/>
      </w:pBdr>
      <w:shd w:val="clear" w:color="auto" w:fill="BFBFBF"/>
      <w:spacing w:before="100" w:beforeAutospacing="1" w:after="100" w:afterAutospacing="1" w:line="240" w:lineRule="auto"/>
    </w:pPr>
    <w:rPr>
      <w:rFonts w:eastAsia="Times New Roman" w:cs="Times New Roman"/>
      <w:b/>
      <w:bCs/>
      <w:sz w:val="24"/>
      <w:szCs w:val="24"/>
      <w:u w:color="000000"/>
      <w:lang w:val="en-US"/>
    </w:rPr>
  </w:style>
  <w:style w:type="paragraph" w:customStyle="1" w:styleId="xl253">
    <w:name w:val="xl253"/>
    <w:basedOn w:val="Normlny"/>
    <w:uiPriority w:val="99"/>
    <w:semiHidden/>
    <w:rsid w:val="00332909"/>
    <w:pPr>
      <w:pBdr>
        <w:top w:val="single" w:sz="8" w:space="0" w:color="auto"/>
        <w:bottom w:val="single" w:sz="8" w:space="0" w:color="auto"/>
        <w:right w:val="single" w:sz="8" w:space="0" w:color="auto"/>
      </w:pBdr>
      <w:shd w:val="clear" w:color="auto" w:fill="BFBFBF"/>
      <w:spacing w:before="100" w:beforeAutospacing="1" w:after="100" w:afterAutospacing="1" w:line="240" w:lineRule="auto"/>
    </w:pPr>
    <w:rPr>
      <w:rFonts w:eastAsia="Times New Roman" w:cs="Times New Roman"/>
      <w:b/>
      <w:bCs/>
      <w:sz w:val="24"/>
      <w:szCs w:val="24"/>
      <w:u w:color="000000"/>
      <w:lang w:val="en-US"/>
    </w:rPr>
  </w:style>
  <w:style w:type="paragraph" w:customStyle="1" w:styleId="xl254">
    <w:name w:val="xl254"/>
    <w:basedOn w:val="Normlny"/>
    <w:uiPriority w:val="99"/>
    <w:semiHidden/>
    <w:rsid w:val="00332909"/>
    <w:pPr>
      <w:pBdr>
        <w:top w:val="single" w:sz="4" w:space="0" w:color="auto"/>
        <w:left w:val="single" w:sz="4" w:space="14" w:color="auto"/>
        <w:bottom w:val="single" w:sz="4" w:space="0" w:color="auto"/>
      </w:pBdr>
      <w:shd w:val="clear" w:color="auto" w:fill="E2EFDA"/>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5">
    <w:name w:val="xl255"/>
    <w:basedOn w:val="Normlny"/>
    <w:uiPriority w:val="99"/>
    <w:semiHidden/>
    <w:rsid w:val="00332909"/>
    <w:pPr>
      <w:pBdr>
        <w:top w:val="single" w:sz="4" w:space="0" w:color="auto"/>
        <w:bottom w:val="single" w:sz="4" w:space="0" w:color="auto"/>
      </w:pBdr>
      <w:shd w:val="clear" w:color="auto" w:fill="E2EFDA"/>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6">
    <w:name w:val="xl256"/>
    <w:basedOn w:val="Normlny"/>
    <w:uiPriority w:val="99"/>
    <w:semiHidden/>
    <w:rsid w:val="00332909"/>
    <w:pPr>
      <w:pBdr>
        <w:top w:val="single" w:sz="4" w:space="0" w:color="auto"/>
        <w:bottom w:val="single" w:sz="4" w:space="0" w:color="auto"/>
        <w:right w:val="single" w:sz="4" w:space="0" w:color="auto"/>
      </w:pBdr>
      <w:shd w:val="clear" w:color="auto" w:fill="E2EFDA"/>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7">
    <w:name w:val="xl257"/>
    <w:basedOn w:val="Normlny"/>
    <w:uiPriority w:val="99"/>
    <w:semiHidden/>
    <w:rsid w:val="00332909"/>
    <w:pPr>
      <w:pBdr>
        <w:top w:val="single" w:sz="4" w:space="0" w:color="auto"/>
        <w:left w:val="single" w:sz="4" w:space="14" w:color="auto"/>
        <w:bottom w:val="single" w:sz="4" w:space="0" w:color="auto"/>
      </w:pBdr>
      <w:shd w:val="clear" w:color="auto" w:fill="DDEBF7"/>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8">
    <w:name w:val="xl258"/>
    <w:basedOn w:val="Normlny"/>
    <w:uiPriority w:val="99"/>
    <w:semiHidden/>
    <w:rsid w:val="00332909"/>
    <w:pPr>
      <w:pBdr>
        <w:top w:val="single" w:sz="4" w:space="0" w:color="auto"/>
        <w:bottom w:val="single" w:sz="4" w:space="0" w:color="auto"/>
      </w:pBdr>
      <w:shd w:val="clear" w:color="auto" w:fill="DDEBF7"/>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59">
    <w:name w:val="xl259"/>
    <w:basedOn w:val="Normlny"/>
    <w:uiPriority w:val="99"/>
    <w:semiHidden/>
    <w:rsid w:val="00332909"/>
    <w:pPr>
      <w:pBdr>
        <w:top w:val="single" w:sz="4" w:space="0" w:color="auto"/>
        <w:bottom w:val="single" w:sz="4" w:space="0" w:color="auto"/>
        <w:right w:val="single" w:sz="4" w:space="0" w:color="auto"/>
      </w:pBdr>
      <w:shd w:val="clear" w:color="auto" w:fill="DDEBF7"/>
      <w:spacing w:before="100" w:beforeAutospacing="1" w:after="100" w:afterAutospacing="1" w:line="240" w:lineRule="auto"/>
      <w:ind w:firstLineChars="200" w:firstLine="200"/>
    </w:pPr>
    <w:rPr>
      <w:rFonts w:eastAsia="Times New Roman" w:cs="Times New Roman"/>
      <w:b/>
      <w:bCs/>
      <w:sz w:val="24"/>
      <w:szCs w:val="24"/>
      <w:u w:color="000000"/>
      <w:lang w:val="en-US"/>
    </w:rPr>
  </w:style>
  <w:style w:type="paragraph" w:customStyle="1" w:styleId="xl260">
    <w:name w:val="xl260"/>
    <w:basedOn w:val="Normlny"/>
    <w:uiPriority w:val="99"/>
    <w:semiHidden/>
    <w:rsid w:val="00332909"/>
    <w:pPr>
      <w:pBdr>
        <w:top w:val="single" w:sz="4" w:space="0" w:color="auto"/>
        <w:bottom w:val="single" w:sz="4" w:space="0" w:color="auto"/>
        <w:right w:val="single" w:sz="4" w:space="0" w:color="auto"/>
      </w:pBdr>
      <w:shd w:val="clear" w:color="auto" w:fill="FFC1C1"/>
      <w:spacing w:before="100" w:beforeAutospacing="1" w:after="100" w:afterAutospacing="1" w:line="240" w:lineRule="auto"/>
    </w:pPr>
    <w:rPr>
      <w:rFonts w:eastAsia="Times New Roman" w:cs="Times New Roman"/>
      <w:b/>
      <w:bCs/>
      <w:sz w:val="24"/>
      <w:szCs w:val="24"/>
      <w:u w:color="000000"/>
      <w:lang w:val="en-US"/>
    </w:rPr>
  </w:style>
  <w:style w:type="paragraph" w:customStyle="1" w:styleId="xl261">
    <w:name w:val="xl261"/>
    <w:basedOn w:val="Normlny"/>
    <w:uiPriority w:val="99"/>
    <w:semiHidden/>
    <w:rsid w:val="00332909"/>
    <w:pPr>
      <w:pBdr>
        <w:top w:val="single" w:sz="4" w:space="0" w:color="auto"/>
        <w:bottom w:val="single" w:sz="4" w:space="0" w:color="auto"/>
        <w:right w:val="single" w:sz="4" w:space="0" w:color="auto"/>
      </w:pBdr>
      <w:shd w:val="clear" w:color="auto" w:fill="FFE699"/>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62">
    <w:name w:val="xl262"/>
    <w:basedOn w:val="Normlny"/>
    <w:uiPriority w:val="99"/>
    <w:semiHidden/>
    <w:rsid w:val="00332909"/>
    <w:pPr>
      <w:pBdr>
        <w:top w:val="single" w:sz="4" w:space="0" w:color="auto"/>
        <w:bottom w:val="single" w:sz="4" w:space="0" w:color="auto"/>
        <w:right w:val="single" w:sz="4" w:space="0" w:color="auto"/>
      </w:pBdr>
      <w:shd w:val="clear" w:color="auto" w:fill="FFF2CC"/>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63">
    <w:name w:val="xl263"/>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64">
    <w:name w:val="xl264"/>
    <w:basedOn w:val="Normlny"/>
    <w:uiPriority w:val="99"/>
    <w:semiHidden/>
    <w:rsid w:val="00332909"/>
    <w:pPr>
      <w:pBdr>
        <w:top w:val="single" w:sz="4" w:space="0" w:color="auto"/>
        <w:bottom w:val="single" w:sz="4" w:space="0" w:color="auto"/>
        <w:right w:val="single" w:sz="4" w:space="0" w:color="auto"/>
      </w:pBdr>
      <w:shd w:val="clear" w:color="auto" w:fill="F8CBAD"/>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65">
    <w:name w:val="xl265"/>
    <w:basedOn w:val="Normlny"/>
    <w:uiPriority w:val="99"/>
    <w:semiHidden/>
    <w:rsid w:val="00332909"/>
    <w:pPr>
      <w:pBdr>
        <w:top w:val="single" w:sz="4" w:space="0" w:color="auto"/>
        <w:bottom w:val="single" w:sz="4" w:space="0" w:color="auto"/>
      </w:pBdr>
      <w:shd w:val="clear" w:color="auto" w:fill="C6E0B4"/>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266">
    <w:name w:val="xl266"/>
    <w:basedOn w:val="Normlny"/>
    <w:uiPriority w:val="99"/>
    <w:semiHidden/>
    <w:rsid w:val="00332909"/>
    <w:pPr>
      <w:pBdr>
        <w:top w:val="single" w:sz="4" w:space="0" w:color="auto"/>
        <w:left w:val="single" w:sz="4" w:space="0" w:color="auto"/>
        <w:right w:val="single" w:sz="4" w:space="0" w:color="auto"/>
      </w:pBdr>
      <w:shd w:val="clear" w:color="auto" w:fill="FFC1C1"/>
      <w:spacing w:before="100" w:beforeAutospacing="1" w:after="100" w:afterAutospacing="1" w:line="240" w:lineRule="auto"/>
      <w:jc w:val="center"/>
    </w:pPr>
    <w:rPr>
      <w:rFonts w:eastAsia="Times New Roman" w:cs="Times New Roman"/>
      <w:b/>
      <w:bCs/>
      <w:sz w:val="20"/>
      <w:szCs w:val="20"/>
      <w:u w:color="000000"/>
      <w:lang w:val="en-US"/>
    </w:rPr>
  </w:style>
  <w:style w:type="paragraph" w:customStyle="1" w:styleId="xl63">
    <w:name w:val="xl63"/>
    <w:basedOn w:val="Normlny"/>
    <w:uiPriority w:val="99"/>
    <w:semiHidden/>
    <w:rsid w:val="00332909"/>
    <w:pPr>
      <w:spacing w:before="100" w:beforeAutospacing="1" w:after="100" w:afterAutospacing="1" w:line="240" w:lineRule="auto"/>
    </w:pPr>
    <w:rPr>
      <w:rFonts w:eastAsia="Times New Roman" w:cs="Times New Roman"/>
      <w:sz w:val="24"/>
      <w:szCs w:val="24"/>
      <w:lang w:eastAsia="sk-SK"/>
    </w:rPr>
  </w:style>
  <w:style w:type="paragraph" w:customStyle="1" w:styleId="xl64">
    <w:name w:val="xl64"/>
    <w:basedOn w:val="Normlny"/>
    <w:uiPriority w:val="99"/>
    <w:semiHidden/>
    <w:rsid w:val="003329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sk-SK"/>
    </w:rPr>
  </w:style>
  <w:style w:type="paragraph" w:customStyle="1" w:styleId="font6">
    <w:name w:val="font6"/>
    <w:basedOn w:val="Normlny"/>
    <w:uiPriority w:val="99"/>
    <w:semiHidden/>
    <w:rsid w:val="00332909"/>
    <w:pPr>
      <w:spacing w:before="100" w:beforeAutospacing="1" w:after="100" w:afterAutospacing="1" w:line="240" w:lineRule="auto"/>
      <w:jc w:val="left"/>
    </w:pPr>
    <w:rPr>
      <w:rFonts w:ascii="Tahoma" w:eastAsia="Times New Roman" w:hAnsi="Tahoma" w:cs="Tahoma"/>
      <w:b/>
      <w:bCs/>
      <w:color w:val="000000"/>
      <w:sz w:val="18"/>
      <w:szCs w:val="18"/>
      <w:lang w:eastAsia="sk-SK"/>
    </w:rPr>
  </w:style>
  <w:style w:type="character" w:styleId="Odkaznapoznmkupodiarou">
    <w:name w:val="footnote reference"/>
    <w:basedOn w:val="Predvolenpsmoodseku"/>
    <w:uiPriority w:val="99"/>
    <w:semiHidden/>
    <w:unhideWhenUsed/>
    <w:rsid w:val="00332909"/>
    <w:rPr>
      <w:vertAlign w:val="superscript"/>
    </w:rPr>
  </w:style>
  <w:style w:type="character" w:styleId="Odkaznakomentr">
    <w:name w:val="annotation reference"/>
    <w:basedOn w:val="Predvolenpsmoodseku"/>
    <w:uiPriority w:val="99"/>
    <w:semiHidden/>
    <w:unhideWhenUsed/>
    <w:rsid w:val="00332909"/>
    <w:rPr>
      <w:sz w:val="16"/>
      <w:szCs w:val="16"/>
    </w:rPr>
  </w:style>
  <w:style w:type="character" w:customStyle="1" w:styleId="Odsekzoznamu1">
    <w:name w:val="Odsek zoznamu1"/>
    <w:aliases w:val="body1,Odsek zoznamu2 Char1,Odsek zoznamu Char1,body Char Char"/>
    <w:uiPriority w:val="34"/>
    <w:qFormat/>
    <w:locked/>
    <w:rsid w:val="00332909"/>
    <w:rPr>
      <w:rFonts w:ascii="Georgia" w:eastAsia="Calibri" w:hAnsi="Georgia" w:cs="Times New Roman" w:hint="default"/>
      <w:sz w:val="24"/>
      <w:szCs w:val="20"/>
    </w:rPr>
  </w:style>
  <w:style w:type="table" w:styleId="Mriekatabuky">
    <w:name w:val="Table Grid"/>
    <w:basedOn w:val="Normlnatabuka"/>
    <w:uiPriority w:val="39"/>
    <w:rsid w:val="00332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3290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
    <w:name w:val="Table Normal"/>
    <w:rsid w:val="0033290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character" w:styleId="slostrany">
    <w:name w:val="page number"/>
    <w:basedOn w:val="Predvolenpsmoodseku"/>
    <w:unhideWhenUsed/>
    <w:rsid w:val="00332909"/>
  </w:style>
  <w:style w:type="numbering" w:customStyle="1" w:styleId="ImportedStyle5">
    <w:name w:val="Imported Style 5"/>
    <w:rsid w:val="00332909"/>
    <w:pPr>
      <w:numPr>
        <w:numId w:val="16"/>
      </w:numPr>
    </w:pPr>
  </w:style>
  <w:style w:type="numbering" w:customStyle="1" w:styleId="ImportedStyle50">
    <w:name w:val="Imported Style 5.0"/>
    <w:rsid w:val="00332909"/>
    <w:pPr>
      <w:numPr>
        <w:numId w:val="17"/>
      </w:numPr>
    </w:pPr>
  </w:style>
  <w:style w:type="numbering" w:customStyle="1" w:styleId="ImportedStyle4">
    <w:name w:val="Imported Style 4"/>
    <w:rsid w:val="00332909"/>
    <w:pPr>
      <w:numPr>
        <w:numId w:val="18"/>
      </w:numPr>
    </w:pPr>
  </w:style>
  <w:style w:type="numbering" w:customStyle="1" w:styleId="ImportedStyle9">
    <w:name w:val="Imported Style 9"/>
    <w:rsid w:val="00332909"/>
    <w:pPr>
      <w:numPr>
        <w:numId w:val="19"/>
      </w:numPr>
    </w:pPr>
  </w:style>
  <w:style w:type="numbering" w:customStyle="1" w:styleId="ImportedStyle2">
    <w:name w:val="Imported Style 2"/>
    <w:rsid w:val="00332909"/>
    <w:pPr>
      <w:numPr>
        <w:numId w:val="20"/>
      </w:numPr>
    </w:pPr>
  </w:style>
  <w:style w:type="numbering" w:customStyle="1" w:styleId="ImportedStyle6">
    <w:name w:val="Imported Style 6"/>
    <w:rsid w:val="00332909"/>
    <w:pPr>
      <w:numPr>
        <w:numId w:val="21"/>
      </w:numPr>
    </w:pPr>
  </w:style>
  <w:style w:type="numbering" w:customStyle="1" w:styleId="ImportedStyle10">
    <w:name w:val="Imported Style 10"/>
    <w:rsid w:val="00332909"/>
    <w:pPr>
      <w:numPr>
        <w:numId w:val="22"/>
      </w:numPr>
    </w:pPr>
  </w:style>
  <w:style w:type="numbering" w:customStyle="1" w:styleId="ImportedStyle16">
    <w:name w:val="Imported Style 16"/>
    <w:rsid w:val="00332909"/>
    <w:pPr>
      <w:numPr>
        <w:numId w:val="23"/>
      </w:numPr>
    </w:pPr>
  </w:style>
  <w:style w:type="numbering" w:customStyle="1" w:styleId="ImportedStyle11">
    <w:name w:val="Imported Style 11"/>
    <w:rsid w:val="00332909"/>
    <w:pPr>
      <w:numPr>
        <w:numId w:val="24"/>
      </w:numPr>
    </w:pPr>
  </w:style>
  <w:style w:type="numbering" w:customStyle="1" w:styleId="ImportedStyle14">
    <w:name w:val="Imported Style 14"/>
    <w:rsid w:val="00332909"/>
    <w:pPr>
      <w:numPr>
        <w:numId w:val="25"/>
      </w:numPr>
    </w:pPr>
  </w:style>
  <w:style w:type="numbering" w:customStyle="1" w:styleId="ImportedStyle13">
    <w:name w:val="Imported Style 13"/>
    <w:rsid w:val="00332909"/>
    <w:pPr>
      <w:numPr>
        <w:numId w:val="26"/>
      </w:numPr>
    </w:pPr>
  </w:style>
  <w:style w:type="numbering" w:customStyle="1" w:styleId="ImportedStyle7">
    <w:name w:val="Imported Style 7"/>
    <w:rsid w:val="00332909"/>
    <w:pPr>
      <w:numPr>
        <w:numId w:val="27"/>
      </w:numPr>
    </w:pPr>
  </w:style>
  <w:style w:type="numbering" w:customStyle="1" w:styleId="ImportedStyle1">
    <w:name w:val="Imported Style 1"/>
    <w:rsid w:val="00332909"/>
    <w:pPr>
      <w:numPr>
        <w:numId w:val="28"/>
      </w:numPr>
    </w:pPr>
  </w:style>
  <w:style w:type="numbering" w:customStyle="1" w:styleId="ImportedStyle12">
    <w:name w:val="Imported Style 12"/>
    <w:rsid w:val="00332909"/>
    <w:pPr>
      <w:numPr>
        <w:numId w:val="29"/>
      </w:numPr>
    </w:pPr>
  </w:style>
  <w:style w:type="numbering" w:customStyle="1" w:styleId="ImportedStyle15">
    <w:name w:val="Imported Style 15"/>
    <w:rsid w:val="00332909"/>
    <w:pPr>
      <w:numPr>
        <w:numId w:val="30"/>
      </w:numPr>
    </w:pPr>
  </w:style>
  <w:style w:type="numbering" w:customStyle="1" w:styleId="ImportedStyle3">
    <w:name w:val="Imported Style 3"/>
    <w:rsid w:val="0033290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1007">
      <w:bodyDiv w:val="1"/>
      <w:marLeft w:val="0"/>
      <w:marRight w:val="0"/>
      <w:marTop w:val="0"/>
      <w:marBottom w:val="0"/>
      <w:divBdr>
        <w:top w:val="none" w:sz="0" w:space="0" w:color="auto"/>
        <w:left w:val="none" w:sz="0" w:space="0" w:color="auto"/>
        <w:bottom w:val="none" w:sz="0" w:space="0" w:color="auto"/>
        <w:right w:val="none" w:sz="0" w:space="0" w:color="auto"/>
      </w:divBdr>
    </w:div>
    <w:div w:id="723794298">
      <w:bodyDiv w:val="1"/>
      <w:marLeft w:val="0"/>
      <w:marRight w:val="0"/>
      <w:marTop w:val="0"/>
      <w:marBottom w:val="0"/>
      <w:divBdr>
        <w:top w:val="none" w:sz="0" w:space="0" w:color="auto"/>
        <w:left w:val="none" w:sz="0" w:space="0" w:color="auto"/>
        <w:bottom w:val="none" w:sz="0" w:space="0" w:color="auto"/>
        <w:right w:val="none" w:sz="0" w:space="0" w:color="auto"/>
      </w:divBdr>
    </w:div>
    <w:div w:id="121951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strRef>
              <c:f>'[Narodení podľa pohlavia, hmotnosti, legitimity a vitality - SR-oblasť-kraj-okres, m-v (om7017rr)_201772217026.xls]Narodení podľa pohlavia, hmo...'!$B$9:$V$9</c:f>
              <c:strCache>
                <c:ptCount val="21"/>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strCache>
            </c:strRef>
          </c:cat>
          <c:val>
            <c:numRef>
              <c:f>'[Narodení podľa pohlavia, hmotnosti, legitimity a vitality - SR-oblasť-kraj-okres, m-v (om7017rr)_201772217026.xls]Narodení podľa pohlavia, hmo...'!$B$10:$V$10</c:f>
              <c:numCache>
                <c:formatCode>General</c:formatCode>
                <c:ptCount val="21"/>
                <c:pt idx="0">
                  <c:v>1058</c:v>
                </c:pt>
                <c:pt idx="1">
                  <c:v>1099</c:v>
                </c:pt>
                <c:pt idx="2">
                  <c:v>1032</c:v>
                </c:pt>
                <c:pt idx="3">
                  <c:v>1002</c:v>
                </c:pt>
                <c:pt idx="4">
                  <c:v>942</c:v>
                </c:pt>
                <c:pt idx="5">
                  <c:v>901</c:v>
                </c:pt>
                <c:pt idx="6">
                  <c:v>987</c:v>
                </c:pt>
                <c:pt idx="7">
                  <c:v>888</c:v>
                </c:pt>
                <c:pt idx="8">
                  <c:v>902</c:v>
                </c:pt>
                <c:pt idx="9">
                  <c:v>926</c:v>
                </c:pt>
                <c:pt idx="10">
                  <c:v>928</c:v>
                </c:pt>
                <c:pt idx="11">
                  <c:v>889</c:v>
                </c:pt>
                <c:pt idx="12">
                  <c:v>947</c:v>
                </c:pt>
                <c:pt idx="13">
                  <c:v>946</c:v>
                </c:pt>
                <c:pt idx="14">
                  <c:v>954</c:v>
                </c:pt>
                <c:pt idx="15">
                  <c:v>904</c:v>
                </c:pt>
                <c:pt idx="16">
                  <c:v>821</c:v>
                </c:pt>
                <c:pt idx="17">
                  <c:v>832</c:v>
                </c:pt>
                <c:pt idx="18">
                  <c:v>845</c:v>
                </c:pt>
                <c:pt idx="19">
                  <c:v>847</c:v>
                </c:pt>
                <c:pt idx="20">
                  <c:v>886</c:v>
                </c:pt>
              </c:numCache>
            </c:numRef>
          </c:val>
          <c:extLst>
            <c:ext xmlns:c16="http://schemas.microsoft.com/office/drawing/2014/chart" uri="{C3380CC4-5D6E-409C-BE32-E72D297353CC}">
              <c16:uniqueId val="{00000000-99FF-4C46-802A-5CBB61D54C56}"/>
            </c:ext>
          </c:extLst>
        </c:ser>
        <c:dLbls>
          <c:showLegendKey val="0"/>
          <c:showVal val="0"/>
          <c:showCatName val="0"/>
          <c:showSerName val="0"/>
          <c:showPercent val="0"/>
          <c:showBubbleSize val="0"/>
        </c:dLbls>
        <c:gapWidth val="219"/>
        <c:overlap val="-27"/>
        <c:axId val="67397120"/>
        <c:axId val="67398656"/>
      </c:barChart>
      <c:catAx>
        <c:axId val="67397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67398656"/>
        <c:crosses val="autoZero"/>
        <c:auto val="1"/>
        <c:lblAlgn val="ctr"/>
        <c:lblOffset val="100"/>
        <c:noMultiLvlLbl val="0"/>
      </c:catAx>
      <c:valAx>
        <c:axId val="673986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67397120"/>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k-SK"/>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rgbClr val="FF0000"/>
            </a:solidFill>
            <a:ln>
              <a:noFill/>
            </a:ln>
            <a:effectLst/>
          </c:spPr>
          <c:invertIfNegative val="0"/>
          <c:cat>
            <c:strRef>
              <c:f>'[Prírastok obyvateľov podľa pohlavia - SR-oblasť-kraj-okres, m-v (ročne) (om7106rr)_2017722172057.xls]Prírastok obyvateľov podľa p...'!$D$7:$X$7</c:f>
              <c:strCache>
                <c:ptCount val="21"/>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strCache>
            </c:strRef>
          </c:cat>
          <c:val>
            <c:numRef>
              <c:f>'[Prírastok obyvateľov podľa pohlavia - SR-oblasť-kraj-okres, m-v (ročne) (om7106rr)_2017722172057.xls]Prírastok obyvateľov podľa p...'!$D$8:$X$8</c:f>
              <c:numCache>
                <c:formatCode>General</c:formatCode>
                <c:ptCount val="21"/>
                <c:pt idx="0">
                  <c:v>-12</c:v>
                </c:pt>
                <c:pt idx="1">
                  <c:v>-52</c:v>
                </c:pt>
                <c:pt idx="2">
                  <c:v>-79</c:v>
                </c:pt>
                <c:pt idx="3">
                  <c:v>-63</c:v>
                </c:pt>
                <c:pt idx="4">
                  <c:v>-96</c:v>
                </c:pt>
                <c:pt idx="5">
                  <c:v>-79</c:v>
                </c:pt>
                <c:pt idx="6">
                  <c:v>-85</c:v>
                </c:pt>
                <c:pt idx="7">
                  <c:v>-93</c:v>
                </c:pt>
                <c:pt idx="8">
                  <c:v>-162</c:v>
                </c:pt>
                <c:pt idx="9">
                  <c:v>-170</c:v>
                </c:pt>
                <c:pt idx="10">
                  <c:v>-205</c:v>
                </c:pt>
                <c:pt idx="11">
                  <c:v>-164</c:v>
                </c:pt>
                <c:pt idx="12">
                  <c:v>-168</c:v>
                </c:pt>
                <c:pt idx="13">
                  <c:v>-78</c:v>
                </c:pt>
                <c:pt idx="14">
                  <c:v>-118</c:v>
                </c:pt>
                <c:pt idx="15">
                  <c:v>-205</c:v>
                </c:pt>
                <c:pt idx="16">
                  <c:v>-247</c:v>
                </c:pt>
                <c:pt idx="17">
                  <c:v>-138</c:v>
                </c:pt>
                <c:pt idx="18">
                  <c:v>-224</c:v>
                </c:pt>
                <c:pt idx="19">
                  <c:v>-222</c:v>
                </c:pt>
                <c:pt idx="20">
                  <c:v>-244</c:v>
                </c:pt>
              </c:numCache>
            </c:numRef>
          </c:val>
          <c:extLst>
            <c:ext xmlns:c16="http://schemas.microsoft.com/office/drawing/2014/chart" uri="{C3380CC4-5D6E-409C-BE32-E72D297353CC}">
              <c16:uniqueId val="{00000000-8867-40B1-B1F8-B652131A0B25}"/>
            </c:ext>
          </c:extLst>
        </c:ser>
        <c:dLbls>
          <c:showLegendKey val="0"/>
          <c:showVal val="0"/>
          <c:showCatName val="0"/>
          <c:showSerName val="0"/>
          <c:showPercent val="0"/>
          <c:showBubbleSize val="0"/>
        </c:dLbls>
        <c:gapWidth val="219"/>
        <c:overlap val="-27"/>
        <c:axId val="87259392"/>
        <c:axId val="87261184"/>
      </c:barChart>
      <c:catAx>
        <c:axId val="87259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sk-SK"/>
          </a:p>
        </c:txPr>
        <c:crossAx val="87261184"/>
        <c:crosses val="autoZero"/>
        <c:auto val="1"/>
        <c:lblAlgn val="ctr"/>
        <c:lblOffset val="100"/>
        <c:noMultiLvlLbl val="0"/>
      </c:catAx>
      <c:valAx>
        <c:axId val="87261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87259392"/>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sk-SK"/>
    </a:p>
  </c:txPr>
  <c:externalData r:id="rId2">
    <c:autoUpdate val="0"/>
  </c:externalData>
</c:chartSpace>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WKX3UHSAJ2R6-2-862196</_dlc_DocId>
    <_dlc_DocIdUrl xmlns="e60a29af-d413-48d4-bd90-fe9d2a897e4b">
      <Url>https://ovdmasv601/sites/DMS/_layouts/15/DocIdRedir.aspx?ID=WKX3UHSAJ2R6-2-862196</Url>
      <Description>WKX3UHSAJ2R6-2-862196</Description>
    </_dlc_DocIdUrl>
  </documentManagement>
</p:properties>
</file>

<file path=customXml/itemProps1.xml><?xml version="1.0" encoding="utf-8"?>
<ds:datastoreItem xmlns:ds="http://schemas.openxmlformats.org/officeDocument/2006/customXml" ds:itemID="{033EBACB-BBB6-435B-A560-854F4DAA850E}">
  <ds:schemaRefs>
    <ds:schemaRef ds:uri="http://schemas.openxmlformats.org/officeDocument/2006/bibliography"/>
  </ds:schemaRefs>
</ds:datastoreItem>
</file>

<file path=customXml/itemProps2.xml><?xml version="1.0" encoding="utf-8"?>
<ds:datastoreItem xmlns:ds="http://schemas.openxmlformats.org/officeDocument/2006/customXml" ds:itemID="{79516902-5A6E-402B-B6F0-B58213DC0DBF}"/>
</file>

<file path=customXml/itemProps3.xml><?xml version="1.0" encoding="utf-8"?>
<ds:datastoreItem xmlns:ds="http://schemas.openxmlformats.org/officeDocument/2006/customXml" ds:itemID="{ED0FD6D4-81A0-4E52-91A0-9F358A85BA74}"/>
</file>

<file path=customXml/itemProps4.xml><?xml version="1.0" encoding="utf-8"?>
<ds:datastoreItem xmlns:ds="http://schemas.openxmlformats.org/officeDocument/2006/customXml" ds:itemID="{2A6458ED-6BDE-4C85-962C-0BF1E4888BE3}"/>
</file>

<file path=customXml/itemProps5.xml><?xml version="1.0" encoding="utf-8"?>
<ds:datastoreItem xmlns:ds="http://schemas.openxmlformats.org/officeDocument/2006/customXml" ds:itemID="{A4610FC8-7B55-495E-A6BD-9DC2D70306F8}"/>
</file>

<file path=docProps/app.xml><?xml version="1.0" encoding="utf-8"?>
<Properties xmlns="http://schemas.openxmlformats.org/officeDocument/2006/extended-properties" xmlns:vt="http://schemas.openxmlformats.org/officeDocument/2006/docPropsVTypes">
  <Template>Normal.dotm</Template>
  <TotalTime>105</TotalTime>
  <Pages>47</Pages>
  <Words>17661</Words>
  <Characters>100672</Characters>
  <Application>Microsoft Office Word</Application>
  <DocSecurity>0</DocSecurity>
  <Lines>838</Lines>
  <Paragraphs>236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Kolesárová Jana</dc:creator>
  <cp:lastModifiedBy>Kolesárová Jana</cp:lastModifiedBy>
  <cp:revision>11</cp:revision>
  <cp:lastPrinted>2018-06-29T09:39:00Z</cp:lastPrinted>
  <dcterms:created xsi:type="dcterms:W3CDTF">2018-06-29T04:23:00Z</dcterms:created>
  <dcterms:modified xsi:type="dcterms:W3CDTF">2018-07-04T10:58:00Z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c993b8ae-7dd0-4118-a596-a9823a7a9d65</vt:lpwstr>
  </property>
</Properties>
</file>